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0ACE6" w14:textId="4D434DCF" w:rsidR="00124601" w:rsidRDefault="00124601" w:rsidP="00124601">
      <w:pPr>
        <w:jc w:val="center"/>
        <w:rPr>
          <w:rtl/>
        </w:rPr>
      </w:pPr>
      <w:r>
        <w:rPr>
          <w:rFonts w:cs="Arial"/>
          <w:rtl/>
        </w:rPr>
        <w:t xml:space="preserve">המלאך </w:t>
      </w:r>
      <w:r>
        <w:rPr>
          <w:rFonts w:cs="Arial" w:hint="cs"/>
          <w:rtl/>
        </w:rPr>
        <w:t xml:space="preserve">שלי: </w:t>
      </w:r>
      <w:r>
        <w:rPr>
          <w:rFonts w:cs="Arial"/>
          <w:rtl/>
        </w:rPr>
        <w:t>על דמותם של המלאכים</w:t>
      </w:r>
      <w:r>
        <w:rPr>
          <w:rFonts w:cs="Arial" w:hint="cs"/>
          <w:rtl/>
        </w:rPr>
        <w:t xml:space="preserve"> - </w:t>
      </w:r>
      <w:r>
        <w:rPr>
          <w:rFonts w:cs="Arial"/>
          <w:rtl/>
        </w:rPr>
        <w:t>דף מלווה לחונך</w:t>
      </w:r>
    </w:p>
    <w:p w14:paraId="4A9F2601" w14:textId="5681DDB6" w:rsidR="00124601" w:rsidRPr="00823F22" w:rsidRDefault="00124601" w:rsidP="00124601">
      <w:pPr>
        <w:rPr>
          <w:u w:val="single"/>
          <w:rtl/>
        </w:rPr>
      </w:pPr>
      <w:r w:rsidRPr="00823F22">
        <w:rPr>
          <w:rFonts w:cs="Arial"/>
          <w:u w:val="single"/>
          <w:rtl/>
        </w:rPr>
        <w:t>על רגל אחת</w:t>
      </w:r>
    </w:p>
    <w:p w14:paraId="02B9B60B" w14:textId="78104168" w:rsidR="00124601" w:rsidRDefault="00124601" w:rsidP="00124601">
      <w:pPr>
        <w:rPr>
          <w:rtl/>
        </w:rPr>
      </w:pPr>
      <w:r>
        <w:rPr>
          <w:rFonts w:cs="Arial"/>
          <w:rtl/>
        </w:rPr>
        <w:t xml:space="preserve">היחידה פותחת את הדלת לעולם המסתורי של המלאכים, אך מהר מאוד מגלה שהשאלה המרכזית אינה רק מי הם, אלא גם מה הם מלמדים אותנו על האדם. דרך סיפורי התורה, </w:t>
      </w:r>
      <w:r>
        <w:rPr>
          <w:rFonts w:cs="Arial" w:hint="cs"/>
          <w:rtl/>
        </w:rPr>
        <w:t xml:space="preserve">ודברי </w:t>
      </w:r>
      <w:r>
        <w:rPr>
          <w:rFonts w:cs="Arial"/>
          <w:rtl/>
        </w:rPr>
        <w:t>חז"ל מתברר שהמלאך הוא שליח רוחני, נטול זהות עצמאית, המוגדר על פי שליחותו. לעומתו, האדם חי בעולם של בחירה, שינוי והתפתחות. דווקא משום שהאדם מתמודד עם חומר, יצר, חולשה וקושי, הוא מסוגל להתקדם ולהתרומם. המפגש עם המלאכים הופך למראה שמחזירה אותנו אל עצמנו: מה מיוחד באדם? מה היתרון שלנו על פני מי שנמצא בעולם רוחני</w:t>
      </w:r>
      <w:r>
        <w:rPr>
          <w:rFonts w:cs="Arial" w:hint="cs"/>
          <w:rtl/>
        </w:rPr>
        <w:t xml:space="preserve"> מופשט ועליון</w:t>
      </w:r>
      <w:r>
        <w:rPr>
          <w:rFonts w:cs="Arial"/>
          <w:rtl/>
        </w:rPr>
        <w:t>? ומה המשמעות של להיות "מהלך" ולא "עומד"?</w:t>
      </w:r>
    </w:p>
    <w:p w14:paraId="30A33D80" w14:textId="77777777" w:rsidR="00124601" w:rsidRPr="00823F22" w:rsidRDefault="00124601" w:rsidP="00823F22">
      <w:pPr>
        <w:pStyle w:val="a9"/>
        <w:numPr>
          <w:ilvl w:val="0"/>
          <w:numId w:val="1"/>
        </w:numPr>
        <w:rPr>
          <w:rFonts w:cs="Arial"/>
          <w:rtl/>
        </w:rPr>
      </w:pPr>
      <w:r w:rsidRPr="00823F22">
        <w:rPr>
          <w:rFonts w:cs="Arial"/>
          <w:rtl/>
        </w:rPr>
        <w:t>דגש לחונך: היחידה עוסקת בנושא המלאכים מתוך נקודת מבט יהודית, ומאפשרת להכיר את מקומם במקרא, בחז"ל ובהגות היהודית. מאחר שדמות המלאך מוכרת גם מתרבויות שונות ומהמסורת הנוצרית, כדאי להשתמש במפגש כהזדמנות להבחין בין הדימויים התרבותיים המוכרים לבין התפיסה היהודית של המלאך כשליח וכמציאות רוחנית. כך ניתן להעמיק בנושא מעבר לדימוי הפופולרי של "מלאך" ולהכיר את הרעיונות העמוקים שהוא מבטא במקורות ישראל.</w:t>
      </w:r>
    </w:p>
    <w:p w14:paraId="6F17DD27" w14:textId="77777777" w:rsidR="00124601" w:rsidRDefault="00124601" w:rsidP="00124601">
      <w:pPr>
        <w:rPr>
          <w:rFonts w:cs="Arial"/>
          <w:rtl/>
        </w:rPr>
      </w:pPr>
    </w:p>
    <w:p w14:paraId="07056A4B" w14:textId="4FA9AD06" w:rsidR="00823F22" w:rsidRPr="00823F22" w:rsidRDefault="00823F22" w:rsidP="00823F22">
      <w:pPr>
        <w:rPr>
          <w:rFonts w:cs="Arial"/>
          <w:u w:val="single"/>
          <w:rtl/>
        </w:rPr>
      </w:pPr>
      <w:r w:rsidRPr="00823F22">
        <w:rPr>
          <w:rFonts w:cs="Arial"/>
          <w:u w:val="single"/>
          <w:rtl/>
        </w:rPr>
        <w:t>רציונל</w:t>
      </w:r>
    </w:p>
    <w:p w14:paraId="17258A17" w14:textId="33DCF6C7" w:rsidR="00823F22" w:rsidRPr="00823F22" w:rsidRDefault="00823F22" w:rsidP="00823F22">
      <w:pPr>
        <w:rPr>
          <w:rFonts w:cs="Arial"/>
          <w:rtl/>
        </w:rPr>
      </w:pPr>
      <w:r w:rsidRPr="00823F22">
        <w:rPr>
          <w:rFonts w:cs="Arial"/>
          <w:rtl/>
        </w:rPr>
        <w:t>היחידה פותחת במפגש של בלעם עם המלאך, כאשר דווקא האתון רואה את מה שבלעם אינו רואה. מכאן עולה שאלת גבולות התפיסה האנושית והאפשרות שקיימות מציאויות שאיננו מסוגלים לראות. בחזון המרכבה של יחזקאל נחשף עולם המלאכים באמצעות דימויים של כנפיים, אש ותנועה, ומכאן עוברים לשאלת זהותו של המלאך. רש"י מסביר שלמלאכים אין שם קבוע, משום שהם מוגדרים לפי השליחות שאליה נשלחו.</w:t>
      </w:r>
    </w:p>
    <w:p w14:paraId="4CF370CE" w14:textId="162F5F36" w:rsidR="00124601" w:rsidRDefault="00823F22" w:rsidP="00823F22">
      <w:pPr>
        <w:rPr>
          <w:rtl/>
        </w:rPr>
      </w:pPr>
      <w:r w:rsidRPr="00823F22">
        <w:rPr>
          <w:rFonts w:cs="Arial"/>
          <w:rtl/>
        </w:rPr>
        <w:t>בהמשך מתברר שהמלאכים אינם בהכרח מדרגה עליונה מהאדם. חז"ל מלמדים שהאדם, דווקא משום שהוא חי בעולם של יצר, בחירה והתמודדות, מסוגל להגיע למדרגות שהמלאך אינו יכול להגיע אליהן. הכלי יקר מגדיר את המלאך כ"עומד" ואת האדם כ"מהלך", המסוגל להשתנות ולהתקדם. הרב קוק מסיים בתפיסה של ירידה ועלייה, שבה האדם פועל בתוך העולם החומרי ומתעלה דרכו. המלאכים הופכים כך למראה שמגלה את ייחודו של האדם: היכולת לבחור, להשתנות ולצמוח.</w:t>
      </w:r>
    </w:p>
    <w:p w14:paraId="3343EB61" w14:textId="77777777" w:rsidR="00823F22" w:rsidRDefault="00823F22" w:rsidP="00823F22">
      <w:pPr>
        <w:rPr>
          <w:rtl/>
        </w:rPr>
      </w:pPr>
    </w:p>
    <w:p w14:paraId="2D6D7809" w14:textId="2CEBB68F" w:rsidR="00124601" w:rsidRPr="00823F22" w:rsidRDefault="00124601" w:rsidP="00124601">
      <w:pPr>
        <w:rPr>
          <w:u w:val="single"/>
          <w:rtl/>
        </w:rPr>
      </w:pPr>
      <w:r w:rsidRPr="00823F22">
        <w:rPr>
          <w:rFonts w:cs="Arial"/>
          <w:u w:val="single"/>
          <w:rtl/>
        </w:rPr>
        <w:t>תובנות מרכזיות</w:t>
      </w:r>
    </w:p>
    <w:p w14:paraId="14709844" w14:textId="25CFB8A7" w:rsidR="00124601" w:rsidRDefault="00124601" w:rsidP="0089116E">
      <w:pPr>
        <w:pStyle w:val="a9"/>
        <w:numPr>
          <w:ilvl w:val="0"/>
          <w:numId w:val="1"/>
        </w:numPr>
        <w:rPr>
          <w:rtl/>
        </w:rPr>
      </w:pPr>
      <w:r w:rsidRPr="0089116E">
        <w:rPr>
          <w:rFonts w:cs="Arial"/>
          <w:rtl/>
        </w:rPr>
        <w:t>במדבר פרק כב, בלעם והאתון</w:t>
      </w:r>
      <w:r>
        <w:rPr>
          <w:rFonts w:hint="cs"/>
          <w:rtl/>
        </w:rPr>
        <w:t xml:space="preserve">: </w:t>
      </w:r>
      <w:r w:rsidRPr="0089116E">
        <w:rPr>
          <w:rFonts w:cs="Arial"/>
          <w:rtl/>
        </w:rPr>
        <w:t>התורה מציגה מצב שבו בעל חיים רואה מציאות רוחנית שהאדם אינו מסוגל לראות, ומדגישה בכך את גבולות התפיסה האנושית. לא כל מה שקיים בעולם נגיש לחושים שלנו, והכרה במגבלות הראייה וההבנה יכולה לפתוח מקום לענווה ולסקרנות.</w:t>
      </w:r>
    </w:p>
    <w:p w14:paraId="3078CDFC" w14:textId="69C76842" w:rsidR="00124601" w:rsidRDefault="00124601" w:rsidP="0089116E">
      <w:pPr>
        <w:pStyle w:val="a9"/>
        <w:numPr>
          <w:ilvl w:val="0"/>
          <w:numId w:val="1"/>
        </w:numPr>
        <w:rPr>
          <w:rtl/>
        </w:rPr>
      </w:pPr>
      <w:r w:rsidRPr="0089116E">
        <w:rPr>
          <w:rFonts w:cs="Arial"/>
          <w:rtl/>
        </w:rPr>
        <w:t>יחזקאל פרק א, חזון המרכבה</w:t>
      </w:r>
      <w:r>
        <w:rPr>
          <w:rFonts w:hint="cs"/>
          <w:rtl/>
        </w:rPr>
        <w:t xml:space="preserve">: </w:t>
      </w:r>
      <w:r w:rsidRPr="0089116E">
        <w:rPr>
          <w:rFonts w:cs="Arial"/>
          <w:rtl/>
        </w:rPr>
        <w:t>יחזקאל מתאר את המלאכים באמצעות תמונות מוחשיות של פנים, כנפיים, אש ותנועה, אף שמדובר במציאות שאינה גופנית. התיאור מאפשר לנו להבין שהשפה האנושית נדרשת להשתמש בדימויים כדי לתאר מציאות רוחנית שאינה ניתנת לתפיסה רגילה.</w:t>
      </w:r>
    </w:p>
    <w:p w14:paraId="538C617B" w14:textId="1F0E71CB" w:rsidR="00124601" w:rsidRDefault="00124601" w:rsidP="0089116E">
      <w:pPr>
        <w:pStyle w:val="a9"/>
        <w:numPr>
          <w:ilvl w:val="0"/>
          <w:numId w:val="1"/>
        </w:numPr>
        <w:rPr>
          <w:rtl/>
        </w:rPr>
      </w:pPr>
      <w:r w:rsidRPr="0089116E">
        <w:rPr>
          <w:rFonts w:cs="Arial"/>
          <w:rtl/>
        </w:rPr>
        <w:t>בראשית פרק לב, יעקב והמלאך</w:t>
      </w:r>
      <w:r>
        <w:rPr>
          <w:rFonts w:hint="cs"/>
          <w:rtl/>
        </w:rPr>
        <w:t xml:space="preserve">: </w:t>
      </w:r>
      <w:r w:rsidRPr="0089116E">
        <w:rPr>
          <w:rFonts w:cs="Arial"/>
          <w:rtl/>
        </w:rPr>
        <w:t>המלאך מתואר כמי שאין לו שם קבוע, משום שזהותו משתנה בהתאם לשליחות שאליה הוא נשלח. בכך מודגש שהמלאך אינו פועל מתוך זהות אישית עצמאית, אלא ממלא שליחות אלוקית מסוימת.</w:t>
      </w:r>
    </w:p>
    <w:p w14:paraId="0CD1056C" w14:textId="47105E0D" w:rsidR="00124601" w:rsidRDefault="00124601" w:rsidP="0089116E">
      <w:pPr>
        <w:pStyle w:val="a9"/>
        <w:numPr>
          <w:ilvl w:val="0"/>
          <w:numId w:val="1"/>
        </w:numPr>
        <w:rPr>
          <w:rtl/>
        </w:rPr>
      </w:pPr>
      <w:r w:rsidRPr="0089116E">
        <w:rPr>
          <w:rFonts w:cs="Arial"/>
          <w:rtl/>
        </w:rPr>
        <w:t>חולין צא, חביבים ישראל לפני הקב"ה</w:t>
      </w:r>
      <w:r>
        <w:rPr>
          <w:rFonts w:hint="cs"/>
          <w:rtl/>
        </w:rPr>
        <w:t xml:space="preserve">: </w:t>
      </w:r>
      <w:r w:rsidRPr="0089116E">
        <w:rPr>
          <w:rFonts w:cs="Arial"/>
          <w:rtl/>
        </w:rPr>
        <w:t>חז"ל מציגים את האדם, ובמיוחד את ישראל, כמי שמסוגל לשבח ולהודות לקב"ה באופן שאינו מוגבל למסגרת קבועה. היכולת האנושית לבחור וליצור קשר עם הקב"ה בתוך עולם משתנה מוצגת כאן כמעלה ייחודית.</w:t>
      </w:r>
    </w:p>
    <w:p w14:paraId="3A1CA55D" w14:textId="2B9669C7" w:rsidR="00124601" w:rsidRDefault="00124601" w:rsidP="0089116E">
      <w:pPr>
        <w:pStyle w:val="a9"/>
        <w:numPr>
          <w:ilvl w:val="0"/>
          <w:numId w:val="1"/>
        </w:numPr>
        <w:rPr>
          <w:rtl/>
        </w:rPr>
      </w:pPr>
      <w:r w:rsidRPr="0089116E">
        <w:rPr>
          <w:rFonts w:cs="Arial"/>
          <w:rtl/>
        </w:rPr>
        <w:lastRenderedPageBreak/>
        <w:t>שבת פח, משה והמלאכים</w:t>
      </w:r>
      <w:r w:rsidR="00823F22">
        <w:rPr>
          <w:rFonts w:hint="cs"/>
          <w:rtl/>
        </w:rPr>
        <w:t xml:space="preserve">: </w:t>
      </w:r>
      <w:r w:rsidRPr="0089116E">
        <w:rPr>
          <w:rFonts w:cs="Arial"/>
          <w:rtl/>
        </w:rPr>
        <w:t>המלאכים אינם מבינים מדוע התורה צריכה להינתן לבני אדם, ומשה מסביר שהתורה נועדה דווקא למי שמתמודד עם יצר, קנאה וחולשות. מכאן עולה שההתמודדות האנושית אינה רק חיסרון, אלא גם התנאי שמאפשר בחירה ועבודה רוחנית.</w:t>
      </w:r>
    </w:p>
    <w:p w14:paraId="47FE0280" w14:textId="39CD26E8" w:rsidR="00124601" w:rsidRDefault="00124601" w:rsidP="0089116E">
      <w:pPr>
        <w:pStyle w:val="a9"/>
        <w:numPr>
          <w:ilvl w:val="0"/>
          <w:numId w:val="1"/>
        </w:numPr>
        <w:rPr>
          <w:rtl/>
        </w:rPr>
      </w:pPr>
      <w:r w:rsidRPr="0089116E">
        <w:rPr>
          <w:rFonts w:cs="Arial"/>
          <w:rtl/>
        </w:rPr>
        <w:t>זכריה פרק ג וכלי יקר</w:t>
      </w:r>
      <w:r w:rsidR="00823F22">
        <w:rPr>
          <w:rFonts w:hint="cs"/>
          <w:rtl/>
        </w:rPr>
        <w:t xml:space="preserve">: </w:t>
      </w:r>
      <w:r w:rsidRPr="0089116E">
        <w:rPr>
          <w:rFonts w:cs="Arial"/>
          <w:rtl/>
        </w:rPr>
        <w:t>הכלי יקר מבחין בין המלאכים ה"עומדים" לבין האדם שהוא "מהלך", מפני שהאדם מסוגל לעבור ממדרגה למדרגה. היכולת להשתנות, ליפול, לקום ולהתקדם היא חלק מרכזי בייחוד האנושי.</w:t>
      </w:r>
    </w:p>
    <w:p w14:paraId="037DA799" w14:textId="56693876" w:rsidR="000F62B6" w:rsidRDefault="00124601" w:rsidP="0089116E">
      <w:pPr>
        <w:pStyle w:val="a9"/>
        <w:numPr>
          <w:ilvl w:val="0"/>
          <w:numId w:val="1"/>
        </w:numPr>
        <w:rPr>
          <w:rtl/>
        </w:rPr>
      </w:pPr>
      <w:r w:rsidRPr="0089116E">
        <w:rPr>
          <w:rFonts w:cs="Arial"/>
          <w:rtl/>
        </w:rPr>
        <w:t>הרב קוק, אורות הקודש</w:t>
      </w:r>
      <w:r w:rsidR="00823F22">
        <w:rPr>
          <w:rFonts w:hint="cs"/>
          <w:rtl/>
        </w:rPr>
        <w:t xml:space="preserve">: </w:t>
      </w:r>
      <w:r w:rsidRPr="0089116E">
        <w:rPr>
          <w:rFonts w:cs="Arial"/>
          <w:rtl/>
        </w:rPr>
        <w:t xml:space="preserve">הרב קוק מתאר את המציאות כתהליך של ירידה מן המקור העליון אל העולם החומרי ולאחר מכן עלייה חזרה אליו. לפי תפיסה זו, המפגש </w:t>
      </w:r>
      <w:r w:rsidR="00823F22" w:rsidRPr="0089116E">
        <w:rPr>
          <w:rFonts w:cs="Arial" w:hint="cs"/>
          <w:rtl/>
        </w:rPr>
        <w:t xml:space="preserve">האנושי </w:t>
      </w:r>
      <w:r w:rsidRPr="0089116E">
        <w:rPr>
          <w:rFonts w:cs="Arial"/>
          <w:rtl/>
        </w:rPr>
        <w:t>עם העולם החומרי אינו תקלה אלא חלק מהדרך שבה האדם יכול להתפתח ולשוב אל מקורו.</w:t>
      </w:r>
    </w:p>
    <w:p w14:paraId="18E09814" w14:textId="77777777" w:rsidR="00124601" w:rsidRDefault="00124601" w:rsidP="00124601">
      <w:pPr>
        <w:rPr>
          <w:rtl/>
        </w:rPr>
      </w:pPr>
    </w:p>
    <w:p w14:paraId="210FEF55" w14:textId="12CE5E8D" w:rsidR="00124601" w:rsidRPr="00823F22" w:rsidRDefault="00124601" w:rsidP="00124601">
      <w:pPr>
        <w:rPr>
          <w:u w:val="single"/>
          <w:rtl/>
        </w:rPr>
      </w:pPr>
      <w:r w:rsidRPr="00823F22">
        <w:rPr>
          <w:rFonts w:cs="Arial"/>
          <w:u w:val="single"/>
          <w:rtl/>
        </w:rPr>
        <w:t>מי האיש?</w:t>
      </w:r>
    </w:p>
    <w:p w14:paraId="0636FCEC" w14:textId="059C8BFF" w:rsidR="00124601" w:rsidRDefault="00124601" w:rsidP="00124601">
      <w:r>
        <w:rPr>
          <w:rFonts w:cs="Arial"/>
          <w:rtl/>
        </w:rPr>
        <w:t xml:space="preserve">רבי שלמה אפרים מלונטשיץ (1550-1619), המכונה "הכלי יקר" על שם פירושו לתורה, היה רב, ראש ישיבה, דרשן ומפרש מקרא מרכזי בפולין ובפראג. הוא נולד בלונטשיץ שבפולין, למד אצל המהרש"ל, ובהמשך כיהן כראש ישיבה בלבוב. בשנת 1604 עבר לפראג, שם שימש כרב העיר, ראש ישיבה ואב בית דין. הוא נודע במיוחד בכישרונו כדרשן ובדרשותיו העוסקות במוסר, אמונה ותיקון החברה, ולעיתים אף ביקר בחריפות תופעות שפגעו לדעתו בחיי הקהילה. </w:t>
      </w:r>
      <w:r>
        <w:rPr>
          <w:rFonts w:cs="Arial" w:hint="cs"/>
          <w:rtl/>
        </w:rPr>
        <w:t xml:space="preserve">חיבר ספרים רבים, אך מכונה בעקבות </w:t>
      </w:r>
      <w:r>
        <w:rPr>
          <w:rFonts w:cs="Arial"/>
          <w:rtl/>
        </w:rPr>
        <w:t>חיבורו המרכזי ה"כלי יקר", פירוש על חמשת חומשי תורה המשלב פרשנות מקראית עם רעיונות מוסר ואמונה.</w:t>
      </w:r>
    </w:p>
    <w:sectPr w:rsidR="00124601" w:rsidSect="00F570D0">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F6001" w14:textId="77777777" w:rsidR="00F570D0" w:rsidRDefault="00F570D0" w:rsidP="00F570D0">
      <w:pPr>
        <w:spacing w:after="0" w:line="240" w:lineRule="auto"/>
      </w:pPr>
      <w:r>
        <w:separator/>
      </w:r>
    </w:p>
  </w:endnote>
  <w:endnote w:type="continuationSeparator" w:id="0">
    <w:p w14:paraId="1CB5C61D" w14:textId="77777777" w:rsidR="00F570D0" w:rsidRDefault="00F570D0" w:rsidP="00F57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52E4" w14:textId="77777777" w:rsidR="00F570D0" w:rsidRDefault="00F570D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2DDE" w14:textId="77777777" w:rsidR="00F570D0" w:rsidRDefault="00F570D0">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D687D" w14:textId="77777777" w:rsidR="00F570D0" w:rsidRDefault="00F570D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27F15" w14:textId="77777777" w:rsidR="00F570D0" w:rsidRDefault="00F570D0" w:rsidP="00F570D0">
      <w:pPr>
        <w:spacing w:after="0" w:line="240" w:lineRule="auto"/>
      </w:pPr>
      <w:r>
        <w:separator/>
      </w:r>
    </w:p>
  </w:footnote>
  <w:footnote w:type="continuationSeparator" w:id="0">
    <w:p w14:paraId="23FFD463" w14:textId="77777777" w:rsidR="00F570D0" w:rsidRDefault="00F570D0" w:rsidP="00F570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34253" w14:textId="77777777" w:rsidR="00F570D0" w:rsidRDefault="00F570D0">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BC22" w14:textId="77777777" w:rsidR="00F570D0" w:rsidRDefault="00F570D0">
    <w:r>
      <w:pict w14:anchorId="2F8A5B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1587F5C6" w14:textId="77777777" w:rsidR="00F570D0" w:rsidRDefault="00F570D0">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12390" w14:textId="77777777" w:rsidR="00F570D0" w:rsidRDefault="00F570D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D52CFF"/>
    <w:multiLevelType w:val="hybridMultilevel"/>
    <w:tmpl w:val="9B708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9296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AD6"/>
    <w:rsid w:val="000F62B6"/>
    <w:rsid w:val="00124601"/>
    <w:rsid w:val="00617340"/>
    <w:rsid w:val="00652242"/>
    <w:rsid w:val="006C10CA"/>
    <w:rsid w:val="00775757"/>
    <w:rsid w:val="00792613"/>
    <w:rsid w:val="00823F22"/>
    <w:rsid w:val="00826676"/>
    <w:rsid w:val="0089116E"/>
    <w:rsid w:val="00935AD6"/>
    <w:rsid w:val="00DE393F"/>
    <w:rsid w:val="00F570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F30AABE"/>
  <w15:chartTrackingRefBased/>
  <w15:docId w15:val="{720E4BA7-410B-4C3E-AD68-BC50A8B5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935A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35A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35AD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35AD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35AD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35AD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35AD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35AD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35AD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35AD6"/>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935AD6"/>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935AD6"/>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935AD6"/>
    <w:rPr>
      <w:rFonts w:eastAsiaTheme="majorEastAsia" w:cstheme="majorBidi"/>
      <w:i/>
      <w:iCs/>
      <w:color w:val="2F5496" w:themeColor="accent1" w:themeShade="BF"/>
    </w:rPr>
  </w:style>
  <w:style w:type="character" w:customStyle="1" w:styleId="50">
    <w:name w:val="כותרת 5 תו"/>
    <w:basedOn w:val="a0"/>
    <w:link w:val="5"/>
    <w:uiPriority w:val="9"/>
    <w:semiHidden/>
    <w:rsid w:val="00935AD6"/>
    <w:rPr>
      <w:rFonts w:eastAsiaTheme="majorEastAsia" w:cstheme="majorBidi"/>
      <w:color w:val="2F5496" w:themeColor="accent1" w:themeShade="BF"/>
    </w:rPr>
  </w:style>
  <w:style w:type="character" w:customStyle="1" w:styleId="60">
    <w:name w:val="כותרת 6 תו"/>
    <w:basedOn w:val="a0"/>
    <w:link w:val="6"/>
    <w:uiPriority w:val="9"/>
    <w:semiHidden/>
    <w:rsid w:val="00935AD6"/>
    <w:rPr>
      <w:rFonts w:eastAsiaTheme="majorEastAsia" w:cstheme="majorBidi"/>
      <w:i/>
      <w:iCs/>
      <w:color w:val="595959" w:themeColor="text1" w:themeTint="A6"/>
    </w:rPr>
  </w:style>
  <w:style w:type="character" w:customStyle="1" w:styleId="70">
    <w:name w:val="כותרת 7 תו"/>
    <w:basedOn w:val="a0"/>
    <w:link w:val="7"/>
    <w:uiPriority w:val="9"/>
    <w:semiHidden/>
    <w:rsid w:val="00935AD6"/>
    <w:rPr>
      <w:rFonts w:eastAsiaTheme="majorEastAsia" w:cstheme="majorBidi"/>
      <w:color w:val="595959" w:themeColor="text1" w:themeTint="A6"/>
    </w:rPr>
  </w:style>
  <w:style w:type="character" w:customStyle="1" w:styleId="80">
    <w:name w:val="כותרת 8 תו"/>
    <w:basedOn w:val="a0"/>
    <w:link w:val="8"/>
    <w:uiPriority w:val="9"/>
    <w:semiHidden/>
    <w:rsid w:val="00935AD6"/>
    <w:rPr>
      <w:rFonts w:eastAsiaTheme="majorEastAsia" w:cstheme="majorBidi"/>
      <w:i/>
      <w:iCs/>
      <w:color w:val="272727" w:themeColor="text1" w:themeTint="D8"/>
    </w:rPr>
  </w:style>
  <w:style w:type="character" w:customStyle="1" w:styleId="90">
    <w:name w:val="כותרת 9 תו"/>
    <w:basedOn w:val="a0"/>
    <w:link w:val="9"/>
    <w:uiPriority w:val="9"/>
    <w:semiHidden/>
    <w:rsid w:val="00935AD6"/>
    <w:rPr>
      <w:rFonts w:eastAsiaTheme="majorEastAsia" w:cstheme="majorBidi"/>
      <w:color w:val="272727" w:themeColor="text1" w:themeTint="D8"/>
    </w:rPr>
  </w:style>
  <w:style w:type="paragraph" w:styleId="a3">
    <w:name w:val="Title"/>
    <w:basedOn w:val="a"/>
    <w:next w:val="a"/>
    <w:link w:val="a4"/>
    <w:uiPriority w:val="10"/>
    <w:qFormat/>
    <w:rsid w:val="00935A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935A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5AD6"/>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935AD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35AD6"/>
    <w:pPr>
      <w:spacing w:before="160"/>
      <w:jc w:val="center"/>
    </w:pPr>
    <w:rPr>
      <w:i/>
      <w:iCs/>
      <w:color w:val="404040" w:themeColor="text1" w:themeTint="BF"/>
    </w:rPr>
  </w:style>
  <w:style w:type="character" w:customStyle="1" w:styleId="a8">
    <w:name w:val="ציטוט תו"/>
    <w:basedOn w:val="a0"/>
    <w:link w:val="a7"/>
    <w:uiPriority w:val="29"/>
    <w:rsid w:val="00935AD6"/>
    <w:rPr>
      <w:i/>
      <w:iCs/>
      <w:color w:val="404040" w:themeColor="text1" w:themeTint="BF"/>
    </w:rPr>
  </w:style>
  <w:style w:type="paragraph" w:styleId="a9">
    <w:name w:val="List Paragraph"/>
    <w:basedOn w:val="a"/>
    <w:uiPriority w:val="34"/>
    <w:qFormat/>
    <w:rsid w:val="00935AD6"/>
    <w:pPr>
      <w:ind w:left="720"/>
      <w:contextualSpacing/>
    </w:pPr>
  </w:style>
  <w:style w:type="character" w:styleId="aa">
    <w:name w:val="Intense Emphasis"/>
    <w:basedOn w:val="a0"/>
    <w:uiPriority w:val="21"/>
    <w:qFormat/>
    <w:rsid w:val="00935AD6"/>
    <w:rPr>
      <w:i/>
      <w:iCs/>
      <w:color w:val="2F5496" w:themeColor="accent1" w:themeShade="BF"/>
    </w:rPr>
  </w:style>
  <w:style w:type="paragraph" w:styleId="ab">
    <w:name w:val="Intense Quote"/>
    <w:basedOn w:val="a"/>
    <w:next w:val="a"/>
    <w:link w:val="ac"/>
    <w:uiPriority w:val="30"/>
    <w:qFormat/>
    <w:rsid w:val="00935A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935AD6"/>
    <w:rPr>
      <w:i/>
      <w:iCs/>
      <w:color w:val="2F5496" w:themeColor="accent1" w:themeShade="BF"/>
    </w:rPr>
  </w:style>
  <w:style w:type="character" w:styleId="ad">
    <w:name w:val="Intense Reference"/>
    <w:basedOn w:val="a0"/>
    <w:uiPriority w:val="32"/>
    <w:qFormat/>
    <w:rsid w:val="00935AD6"/>
    <w:rPr>
      <w:b/>
      <w:bCs/>
      <w:smallCaps/>
      <w:color w:val="2F5496" w:themeColor="accent1" w:themeShade="BF"/>
      <w:spacing w:val="5"/>
    </w:rPr>
  </w:style>
  <w:style w:type="paragraph" w:styleId="ae">
    <w:name w:val="header"/>
    <w:basedOn w:val="a"/>
    <w:link w:val="af"/>
    <w:uiPriority w:val="99"/>
    <w:unhideWhenUsed/>
    <w:rsid w:val="00F570D0"/>
    <w:pPr>
      <w:tabs>
        <w:tab w:val="center" w:pos="4153"/>
        <w:tab w:val="right" w:pos="8306"/>
      </w:tabs>
      <w:spacing w:after="0" w:line="240" w:lineRule="auto"/>
    </w:pPr>
  </w:style>
  <w:style w:type="character" w:customStyle="1" w:styleId="af">
    <w:name w:val="כותרת עליונה תו"/>
    <w:basedOn w:val="a0"/>
    <w:link w:val="ae"/>
    <w:uiPriority w:val="99"/>
    <w:rsid w:val="00F570D0"/>
  </w:style>
  <w:style w:type="paragraph" w:styleId="af0">
    <w:name w:val="footer"/>
    <w:basedOn w:val="a"/>
    <w:link w:val="af1"/>
    <w:uiPriority w:val="99"/>
    <w:unhideWhenUsed/>
    <w:rsid w:val="00F570D0"/>
    <w:pPr>
      <w:tabs>
        <w:tab w:val="center" w:pos="4153"/>
        <w:tab w:val="right" w:pos="8306"/>
      </w:tabs>
      <w:spacing w:after="0" w:line="240" w:lineRule="auto"/>
    </w:pPr>
  </w:style>
  <w:style w:type="character" w:customStyle="1" w:styleId="af1">
    <w:name w:val="כותרת תחתונה תו"/>
    <w:basedOn w:val="a0"/>
    <w:link w:val="af0"/>
    <w:uiPriority w:val="99"/>
    <w:rsid w:val="00F57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636</Words>
  <Characters>3181</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הודיה משען</dc:creator>
  <cp:keywords/>
  <dc:description/>
  <cp:lastModifiedBy>user1</cp:lastModifiedBy>
  <cp:revision>4</cp:revision>
  <dcterms:created xsi:type="dcterms:W3CDTF">2026-08-13T17:10:00Z</dcterms:created>
  <dcterms:modified xsi:type="dcterms:W3CDTF">2026-09-16T10:52:00Z</dcterms:modified>
</cp:coreProperties>
</file>