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3A61" w14:textId="598382CC" w:rsidR="006C14AC" w:rsidRPr="006C14AC" w:rsidRDefault="006C14AC" w:rsidP="00AE6B86">
      <w:pPr>
        <w:jc w:val="center"/>
        <w:rPr>
          <w:rFonts w:cs="Arial"/>
          <w:u w:val="single"/>
          <w:rtl/>
        </w:rPr>
      </w:pPr>
      <w:r w:rsidRPr="006C14AC">
        <w:rPr>
          <w:rFonts w:cs="Arial"/>
          <w:u w:val="single"/>
          <w:rtl/>
        </w:rPr>
        <w:t>התחנה הבאה...</w:t>
      </w:r>
      <w:r w:rsidRPr="006C14AC">
        <w:rPr>
          <w:rFonts w:cs="Arial" w:hint="cs"/>
          <w:u w:val="single"/>
          <w:rtl/>
        </w:rPr>
        <w:t xml:space="preserve"> </w:t>
      </w:r>
      <w:r w:rsidRPr="006C14AC">
        <w:rPr>
          <w:rFonts w:cs="Arial"/>
          <w:u w:val="single"/>
          <w:rtl/>
        </w:rPr>
        <w:t>על שכר, עונש והעולם הבא</w:t>
      </w:r>
      <w:r w:rsidRPr="006C14AC">
        <w:rPr>
          <w:rFonts w:cs="Arial" w:hint="cs"/>
          <w:u w:val="single"/>
          <w:rtl/>
        </w:rPr>
        <w:t xml:space="preserve"> </w:t>
      </w:r>
      <w:r w:rsidRPr="006C14AC">
        <w:rPr>
          <w:rFonts w:cs="Arial"/>
          <w:u w:val="single"/>
          <w:rtl/>
        </w:rPr>
        <w:t>–</w:t>
      </w:r>
      <w:r w:rsidRPr="006C14AC">
        <w:rPr>
          <w:rFonts w:cs="Arial" w:hint="cs"/>
          <w:u w:val="single"/>
          <w:rtl/>
        </w:rPr>
        <w:t xml:space="preserve"> דף לחונך</w:t>
      </w:r>
    </w:p>
    <w:p w14:paraId="6B6DBF38" w14:textId="01E41456" w:rsidR="006C14AC" w:rsidRPr="006C14AC" w:rsidRDefault="006C14AC" w:rsidP="006C14AC">
      <w:pPr>
        <w:rPr>
          <w:u w:val="single"/>
          <w:rtl/>
        </w:rPr>
      </w:pPr>
      <w:r w:rsidRPr="006C14AC">
        <w:rPr>
          <w:rFonts w:cs="Arial"/>
          <w:u w:val="single"/>
          <w:rtl/>
        </w:rPr>
        <w:t>על רגל אחת</w:t>
      </w:r>
    </w:p>
    <w:p w14:paraId="6C4DAD8B" w14:textId="2448B4D9" w:rsidR="006C14AC" w:rsidRDefault="006C14AC" w:rsidP="006C14AC">
      <w:pPr>
        <w:rPr>
          <w:rtl/>
        </w:rPr>
      </w:pPr>
      <w:r>
        <w:rPr>
          <w:rFonts w:cs="Arial"/>
          <w:rtl/>
        </w:rPr>
        <w:t xml:space="preserve">היחידה מציעה להסתכל על העולם הבא לא רק כעל מקום שמגיעים אליו אחרי המוות, אלא כהמשך ישיר של </w:t>
      </w:r>
      <w:r>
        <w:rPr>
          <w:rFonts w:cs="Arial" w:hint="cs"/>
          <w:rtl/>
        </w:rPr>
        <w:t xml:space="preserve">ערכי </w:t>
      </w:r>
      <w:r>
        <w:rPr>
          <w:rFonts w:cs="Arial"/>
          <w:rtl/>
        </w:rPr>
        <w:t>האדם</w:t>
      </w:r>
      <w:r>
        <w:rPr>
          <w:rFonts w:cs="Arial" w:hint="cs"/>
          <w:rtl/>
        </w:rPr>
        <w:t xml:space="preserve"> הנצחיים,</w:t>
      </w:r>
      <w:r>
        <w:rPr>
          <w:rFonts w:cs="Arial"/>
          <w:rtl/>
        </w:rPr>
        <w:t xml:space="preserve"> </w:t>
      </w:r>
      <w:r>
        <w:rPr>
          <w:rFonts w:cs="Arial" w:hint="cs"/>
          <w:rtl/>
        </w:rPr>
        <w:t xml:space="preserve">אותם </w:t>
      </w:r>
      <w:r>
        <w:rPr>
          <w:rFonts w:cs="Arial"/>
          <w:rtl/>
        </w:rPr>
        <w:t>אנחנו בונים במהלך החיים. דרך המקורות מתפתחת תפיסה שלפיה המעשים, הבחירות והמאמצים שלנו אינם נעלמים, אלא יוצרים בתוכנו משהו שהולך ונבנה לאורך כל החיים</w:t>
      </w:r>
      <w:r>
        <w:rPr>
          <w:rFonts w:cs="Arial" w:hint="cs"/>
          <w:rtl/>
        </w:rPr>
        <w:t>, ונשאר גם אחריהם</w:t>
      </w:r>
      <w:r>
        <w:rPr>
          <w:rFonts w:cs="Arial"/>
          <w:rtl/>
        </w:rPr>
        <w:t>. העולם הזה הוא זמן של עבודה, בחירה ועיצוב האישיות, והעולם הבא הוא גילוי של מה שנבנה כאן. מכאן עולה שאלה עמוקה: אם החיים שלנו הם רק שלב בתוך מסע גדול יותר, מה אנחנו רוצים לבנות בהם? משל העובר של הרב טוקצינסקי מרחיב את התמונה ומציע ענווה מול מה שאיננו מסוגלים לתפוס. כפי שהעובר אינו מסוגל לדמיין את העולם שמחוץ לרחם, כך גם אנחנו מתקשים להבין את המציאות שמעבר לחיים.</w:t>
      </w:r>
    </w:p>
    <w:p w14:paraId="4507AEEF" w14:textId="5672EB89" w:rsidR="006C14AC" w:rsidRDefault="006C14AC" w:rsidP="006C14AC">
      <w:pPr>
        <w:pStyle w:val="a9"/>
        <w:numPr>
          <w:ilvl w:val="0"/>
          <w:numId w:val="1"/>
        </w:numPr>
        <w:rPr>
          <w:rtl/>
        </w:rPr>
      </w:pPr>
      <w:r w:rsidRPr="006C14AC">
        <w:rPr>
          <w:rFonts w:cs="Arial"/>
          <w:rtl/>
        </w:rPr>
        <w:t>דגש לחונך</w:t>
      </w:r>
      <w:r>
        <w:rPr>
          <w:rFonts w:hint="cs"/>
          <w:rtl/>
        </w:rPr>
        <w:t xml:space="preserve">: </w:t>
      </w:r>
      <w:r w:rsidRPr="006C14AC">
        <w:rPr>
          <w:rFonts w:cs="Arial"/>
          <w:rtl/>
        </w:rPr>
        <w:t>מדובר ביחידה מתקדמת יחסית, הן מבחינת העיסוק בנושא העולם הבא והן מבחינת עומק המקורות והשפה האמונית שבה הם עוסקים. עבור חניכים שנחשפים לראשונה לנושא, מומלץ להתחיל ביחידה "התקנה עצמך בפרוזדור"</w:t>
      </w:r>
      <w:r w:rsidR="00CA3487">
        <w:rPr>
          <w:rFonts w:cs="Arial" w:hint="cs"/>
          <w:rtl/>
        </w:rPr>
        <w:t>,</w:t>
      </w:r>
      <w:r w:rsidRPr="006C14AC">
        <w:rPr>
          <w:rFonts w:cs="Arial"/>
          <w:rtl/>
        </w:rPr>
        <w:t xml:space="preserve"> העוסקת בעולם הגמול </w:t>
      </w:r>
      <w:r w:rsidR="00CA3487">
        <w:rPr>
          <w:rFonts w:cs="Arial" w:hint="cs"/>
          <w:rtl/>
        </w:rPr>
        <w:t xml:space="preserve">באופן כללי יותר, </w:t>
      </w:r>
      <w:r w:rsidRPr="006C14AC">
        <w:rPr>
          <w:rFonts w:cs="Arial"/>
          <w:rtl/>
        </w:rPr>
        <w:t>ומתאימה יותר למפגש ראשוני ע</w:t>
      </w:r>
      <w:r w:rsidR="00CA3487">
        <w:rPr>
          <w:rFonts w:cs="Arial" w:hint="cs"/>
          <w:rtl/>
        </w:rPr>
        <w:t>ם</w:t>
      </w:r>
      <w:r w:rsidRPr="006C14AC">
        <w:rPr>
          <w:rFonts w:cs="Arial"/>
          <w:rtl/>
        </w:rPr>
        <w:t xml:space="preserve"> הנושא. גם כאשר מתכננים ללמוד את שתי היחידות, מומלץ ללמוד את יחידת עולם הגמול תחילה, ולאחריה את היחידה הנוכחית כהעמקה והרחבה של התפיסה.</w:t>
      </w:r>
      <w:r>
        <w:rPr>
          <w:rFonts w:cs="Arial" w:hint="cs"/>
          <w:rtl/>
        </w:rPr>
        <w:t xml:space="preserve"> בקבוצות יותר "סקפטיות" כדאי לא ללמד את היחידה כהוכחה </w:t>
      </w:r>
      <w:r w:rsidR="00B87CAC">
        <w:rPr>
          <w:rFonts w:cs="Arial" w:hint="cs"/>
          <w:rtl/>
        </w:rPr>
        <w:t xml:space="preserve">חד משמעית </w:t>
      </w:r>
      <w:r>
        <w:rPr>
          <w:rFonts w:cs="Arial" w:hint="cs"/>
          <w:rtl/>
        </w:rPr>
        <w:t xml:space="preserve">לכך שיש עולם הבא, אלא כפתיחת </w:t>
      </w:r>
      <w:r w:rsidR="00B87CAC">
        <w:rPr>
          <w:rFonts w:cs="Arial" w:hint="cs"/>
          <w:rtl/>
        </w:rPr>
        <w:t>הראש והמחשבה לכך ש: א. למעשים שלנו יש השלכות וערכים שנשארים קיימים גם אחרי החיים. ב. גם מה שנראה תמוה מבחינה רציונאלית לא אומר שלא קיים (משל העובר של הרב טוקצינסקי).</w:t>
      </w:r>
    </w:p>
    <w:p w14:paraId="478DAAEC" w14:textId="144EB111" w:rsidR="006C14AC" w:rsidRPr="006C14AC" w:rsidRDefault="006C14AC" w:rsidP="006C14AC">
      <w:pPr>
        <w:rPr>
          <w:u w:val="single"/>
          <w:rtl/>
        </w:rPr>
      </w:pPr>
      <w:r w:rsidRPr="006C14AC">
        <w:rPr>
          <w:rFonts w:cs="Arial"/>
          <w:u w:val="single"/>
          <w:rtl/>
        </w:rPr>
        <w:t>רציונאל</w:t>
      </w:r>
    </w:p>
    <w:p w14:paraId="505C60C8" w14:textId="7F5894A6" w:rsidR="006C14AC" w:rsidRDefault="006C14AC" w:rsidP="006C14AC">
      <w:pPr>
        <w:rPr>
          <w:rtl/>
        </w:rPr>
      </w:pPr>
      <w:r>
        <w:rPr>
          <w:rFonts w:cs="Arial"/>
          <w:rtl/>
        </w:rPr>
        <w:t>היחידה מתחילה במשנה שלכל ישראל יש חלק לעולם הבא, ומיד מעבירה את הדיון מהשאלה "מהו העולם הבא?" לשאלה מה האדם עושה כדי לבנות את חלקו בו. הרב חיים מוולוזין מדגיש שהעולם הבא אינו רק מציאות מוכנה שאליה האדם מגיע, אלא "מעשה ידי האדם עצמו", שנוצר מתוך בחירותיו ומעשיו.</w:t>
      </w:r>
      <w:r>
        <w:rPr>
          <w:rFonts w:hint="cs"/>
          <w:rtl/>
        </w:rPr>
        <w:t xml:space="preserve"> </w:t>
      </w:r>
      <w:r>
        <w:rPr>
          <w:rFonts w:cs="Arial"/>
          <w:rtl/>
        </w:rPr>
        <w:t xml:space="preserve">הרמח"ל ממשיך את הרעיון ומציג את העולם הזה כ"זמן העבודה" ואת העולם הבא כ"זמן קיבול השכר". המאירי והרב דסלר מעמיקים עוד יותר: העולם הבא אינו פרס חיצוני על מעשים טובים, אלא הפרי הטבעי </w:t>
      </w:r>
      <w:r>
        <w:rPr>
          <w:rFonts w:cs="Arial" w:hint="cs"/>
          <w:rtl/>
        </w:rPr>
        <w:t xml:space="preserve">והתוצאה </w:t>
      </w:r>
      <w:r>
        <w:rPr>
          <w:rFonts w:cs="Arial"/>
          <w:rtl/>
        </w:rPr>
        <w:t>של האדם והשלמות שהוא עצמו בנה.</w:t>
      </w:r>
    </w:p>
    <w:p w14:paraId="67FBCC01" w14:textId="646BDE0D" w:rsidR="006C14AC" w:rsidRDefault="006C14AC" w:rsidP="006C14AC">
      <w:pPr>
        <w:rPr>
          <w:rtl/>
        </w:rPr>
      </w:pPr>
      <w:r>
        <w:rPr>
          <w:rFonts w:cs="Arial"/>
          <w:rtl/>
        </w:rPr>
        <w:t>בסיום הרב טוקצינסקי משתמש במשל העובר כדי להתמודד עם הקושי האנושי לדמיין מציאות שמעבר לעולם המוכר. המשל אינו מוכיח את קיומו של העולם הבא, אלא מציע נקודת מבט של ענווה: ייתכן שהיכולת שלנו לתפוס את המציאות מוגבלת מעצם היותנו בתוך העולם הזה.</w:t>
      </w:r>
      <w:r>
        <w:rPr>
          <w:rFonts w:hint="cs"/>
          <w:rtl/>
        </w:rPr>
        <w:t xml:space="preserve"> </w:t>
      </w:r>
      <w:r>
        <w:rPr>
          <w:rFonts w:cs="Arial"/>
          <w:rtl/>
        </w:rPr>
        <w:t>כך היחידה מבקשת להשאיר את החניך עם תפיסה פשוטה אך עמוקה: החיים אינם רק מה שקורה לנו, אלא גם מה שאנחנו נעשים בתוכם.</w:t>
      </w:r>
    </w:p>
    <w:p w14:paraId="41CE2CFD" w14:textId="77777777" w:rsidR="006C14AC" w:rsidRDefault="006C14AC" w:rsidP="006C14AC">
      <w:pPr>
        <w:rPr>
          <w:rtl/>
        </w:rPr>
      </w:pPr>
    </w:p>
    <w:p w14:paraId="37E3BD36" w14:textId="13BF1EF1" w:rsidR="006C14AC" w:rsidRPr="00B87CAC" w:rsidRDefault="006C14AC" w:rsidP="00B87CAC">
      <w:pPr>
        <w:rPr>
          <w:u w:val="single"/>
          <w:rtl/>
        </w:rPr>
      </w:pPr>
      <w:r w:rsidRPr="00B87CAC">
        <w:rPr>
          <w:rFonts w:cs="Arial"/>
          <w:u w:val="single"/>
          <w:rtl/>
        </w:rPr>
        <w:t>תובנות מרכזיות</w:t>
      </w:r>
    </w:p>
    <w:p w14:paraId="142EB3CF" w14:textId="2612C8C9" w:rsidR="006C14AC" w:rsidRDefault="006C14AC" w:rsidP="00F00C7A">
      <w:pPr>
        <w:pStyle w:val="a9"/>
        <w:numPr>
          <w:ilvl w:val="0"/>
          <w:numId w:val="1"/>
        </w:numPr>
        <w:rPr>
          <w:rtl/>
        </w:rPr>
      </w:pPr>
      <w:r w:rsidRPr="00F00C7A">
        <w:rPr>
          <w:rFonts w:cs="Arial"/>
          <w:rtl/>
        </w:rPr>
        <w:t>משנה סנהדרין: האמונה בעולם הבא מוצגת כיסוד מרכזי בתפיסה היהודית, שלפיה החיים אינם מסתיימים במציאות שאנו מכירים.</w:t>
      </w:r>
    </w:p>
    <w:p w14:paraId="590A2BEC" w14:textId="46FE93C5" w:rsidR="006C14AC" w:rsidRDefault="006C14AC" w:rsidP="00F00C7A">
      <w:pPr>
        <w:pStyle w:val="a9"/>
        <w:numPr>
          <w:ilvl w:val="0"/>
          <w:numId w:val="1"/>
        </w:numPr>
        <w:rPr>
          <w:rtl/>
        </w:rPr>
      </w:pPr>
      <w:r w:rsidRPr="00F00C7A">
        <w:rPr>
          <w:rFonts w:cs="Arial"/>
          <w:rtl/>
        </w:rPr>
        <w:t xml:space="preserve">רבי חיים מוולוזין: האדם אינו רק </w:t>
      </w:r>
      <w:r w:rsidR="00B87CAC" w:rsidRPr="00F00C7A">
        <w:rPr>
          <w:rFonts w:cs="Arial" w:hint="cs"/>
          <w:rtl/>
        </w:rPr>
        <w:t>'</w:t>
      </w:r>
      <w:r w:rsidRPr="00F00C7A">
        <w:rPr>
          <w:rFonts w:cs="Arial"/>
          <w:rtl/>
        </w:rPr>
        <w:t>מקבל</w:t>
      </w:r>
      <w:r w:rsidR="00B87CAC" w:rsidRPr="00F00C7A">
        <w:rPr>
          <w:rFonts w:cs="Arial" w:hint="cs"/>
          <w:rtl/>
        </w:rPr>
        <w:t>'</w:t>
      </w:r>
      <w:r w:rsidRPr="00F00C7A">
        <w:rPr>
          <w:rFonts w:cs="Arial"/>
          <w:rtl/>
        </w:rPr>
        <w:t xml:space="preserve"> את חלקו בעולם הבא, אלא בונה אותו באמצעות הבחירות והמעשים שלו בעולם הזה.</w:t>
      </w:r>
    </w:p>
    <w:p w14:paraId="23D373D8" w14:textId="540F7475" w:rsidR="006C14AC" w:rsidRDefault="006C14AC" w:rsidP="00F00C7A">
      <w:pPr>
        <w:pStyle w:val="a9"/>
        <w:numPr>
          <w:ilvl w:val="0"/>
          <w:numId w:val="1"/>
        </w:numPr>
        <w:rPr>
          <w:rtl/>
        </w:rPr>
      </w:pPr>
      <w:r w:rsidRPr="00F00C7A">
        <w:rPr>
          <w:rFonts w:cs="Arial"/>
          <w:rtl/>
        </w:rPr>
        <w:t>הרמח"ל: העולם הזה הוא זמן מוגבל של עבודה ובחירה, בעוד שהעולם הבא הוא המשך בלתי מוגבל של השלמות שהאדם קנה לעצמו בחייו.</w:t>
      </w:r>
    </w:p>
    <w:p w14:paraId="36C2F969" w14:textId="6FF386CA" w:rsidR="006C14AC" w:rsidRDefault="006C14AC" w:rsidP="00F00C7A">
      <w:pPr>
        <w:pStyle w:val="a9"/>
        <w:numPr>
          <w:ilvl w:val="0"/>
          <w:numId w:val="1"/>
        </w:numPr>
        <w:rPr>
          <w:rtl/>
        </w:rPr>
      </w:pPr>
      <w:r w:rsidRPr="00F00C7A">
        <w:rPr>
          <w:rFonts w:cs="Arial"/>
          <w:rtl/>
        </w:rPr>
        <w:t>הרמח"ל, מאמר העיקרים: הגמול בעולם הבא אינו תשלום חיצוני על המצוות, אלא מדרגת הקרבה והדבקות בה' שנוצרת מתוך מעשיו של האדם.</w:t>
      </w:r>
    </w:p>
    <w:p w14:paraId="6BF07EF5" w14:textId="6C86EEDD" w:rsidR="006C14AC" w:rsidRDefault="006C14AC" w:rsidP="00F00C7A">
      <w:pPr>
        <w:pStyle w:val="a9"/>
        <w:numPr>
          <w:ilvl w:val="0"/>
          <w:numId w:val="1"/>
        </w:numPr>
        <w:rPr>
          <w:rtl/>
        </w:rPr>
      </w:pPr>
      <w:r w:rsidRPr="00F00C7A">
        <w:rPr>
          <w:rFonts w:cs="Arial"/>
          <w:rtl/>
        </w:rPr>
        <w:t>המאירי: העולם הבא הוא "פרי" המעשים, כלומר תוצאה טבעית של מה שהאדם בנה באישיותו ולא פרס שמוענק לו מבחוץ.</w:t>
      </w:r>
    </w:p>
    <w:p w14:paraId="2C9A26D4" w14:textId="721F1284" w:rsidR="006C14AC" w:rsidRDefault="006C14AC" w:rsidP="00F00C7A">
      <w:pPr>
        <w:pStyle w:val="a9"/>
        <w:numPr>
          <w:ilvl w:val="0"/>
          <w:numId w:val="1"/>
        </w:numPr>
        <w:rPr>
          <w:rtl/>
        </w:rPr>
      </w:pPr>
      <w:r w:rsidRPr="00F00C7A">
        <w:rPr>
          <w:rFonts w:cs="Arial"/>
          <w:rtl/>
        </w:rPr>
        <w:t>הרב אליהו דסלר: העונג של העולם הבא גדול לאין שיעור מכל תענוג שאפשר לצבור בעולם הזה, ולכן אין להבין את הגמול הרוחני במונחים הרגילים של פרס והנאה</w:t>
      </w:r>
      <w:r w:rsidR="00B87CAC" w:rsidRPr="00F00C7A">
        <w:rPr>
          <w:rFonts w:cs="Arial" w:hint="cs"/>
          <w:rtl/>
        </w:rPr>
        <w:t xml:space="preserve"> פיזית</w:t>
      </w:r>
      <w:r w:rsidRPr="00F00C7A">
        <w:rPr>
          <w:rFonts w:cs="Arial"/>
          <w:rtl/>
        </w:rPr>
        <w:t>.</w:t>
      </w:r>
    </w:p>
    <w:p w14:paraId="30D067FC" w14:textId="4A76580E" w:rsidR="006C14AC" w:rsidRDefault="006C14AC" w:rsidP="00F00C7A">
      <w:pPr>
        <w:pStyle w:val="a9"/>
        <w:numPr>
          <w:ilvl w:val="0"/>
          <w:numId w:val="1"/>
        </w:numPr>
        <w:rPr>
          <w:rtl/>
        </w:rPr>
      </w:pPr>
      <w:r w:rsidRPr="00F00C7A">
        <w:rPr>
          <w:rFonts w:cs="Arial"/>
          <w:rtl/>
        </w:rPr>
        <w:lastRenderedPageBreak/>
        <w:t>הרב יחיאל מיכל טוקצינסקי: משל העובר מלמד שהאדם עשוי להיות מוגבל ביכולתו לתפוס מציאות שנמצאת מעבר לעולם המוכר לו, ומ</w:t>
      </w:r>
      <w:r w:rsidR="00B87CAC" w:rsidRPr="00F00C7A">
        <w:rPr>
          <w:rFonts w:cs="Arial" w:hint="cs"/>
          <w:rtl/>
        </w:rPr>
        <w:t>ציע להיאזר</w:t>
      </w:r>
      <w:r w:rsidRPr="00F00C7A">
        <w:rPr>
          <w:rFonts w:cs="Arial"/>
          <w:rtl/>
        </w:rPr>
        <w:t xml:space="preserve"> </w:t>
      </w:r>
      <w:r w:rsidR="00B87CAC" w:rsidRPr="00F00C7A">
        <w:rPr>
          <w:rFonts w:cs="Arial" w:hint="cs"/>
          <w:rtl/>
        </w:rPr>
        <w:t>ב</w:t>
      </w:r>
      <w:r w:rsidRPr="00F00C7A">
        <w:rPr>
          <w:rFonts w:cs="Arial"/>
          <w:rtl/>
        </w:rPr>
        <w:t>ענווה ביחס למה שאיננו יכולים להבין.</w:t>
      </w:r>
      <w:r w:rsidR="00B87CAC">
        <w:rPr>
          <w:rFonts w:hint="cs"/>
          <w:rtl/>
        </w:rPr>
        <w:t xml:space="preserve"> [יש לקרוא מקור זה לאט ובנחת להסבירו ללומדים בשלבים כיוון שהשפה בו מעט גבוהה].</w:t>
      </w:r>
    </w:p>
    <w:p w14:paraId="463207A3" w14:textId="77777777" w:rsidR="006C14AC" w:rsidRDefault="006C14AC" w:rsidP="006C14AC">
      <w:pPr>
        <w:rPr>
          <w:rtl/>
        </w:rPr>
      </w:pPr>
    </w:p>
    <w:p w14:paraId="542492D5" w14:textId="61CEB8A6" w:rsidR="006C14AC" w:rsidRPr="00B87CAC" w:rsidRDefault="006C14AC" w:rsidP="00B87CAC">
      <w:pPr>
        <w:rPr>
          <w:u w:val="single"/>
          <w:rtl/>
        </w:rPr>
      </w:pPr>
      <w:r w:rsidRPr="00B87CAC">
        <w:rPr>
          <w:rFonts w:cs="Arial"/>
          <w:u w:val="single"/>
          <w:rtl/>
        </w:rPr>
        <w:t>מי האיש</w:t>
      </w:r>
      <w:r w:rsidR="00B87CAC" w:rsidRPr="00B87CAC">
        <w:rPr>
          <w:rFonts w:hint="cs"/>
          <w:u w:val="single"/>
          <w:rtl/>
        </w:rPr>
        <w:t xml:space="preserve"> - </w:t>
      </w:r>
      <w:r w:rsidR="00B87CAC" w:rsidRPr="00B87CAC">
        <w:rPr>
          <w:rFonts w:cs="Arial" w:hint="cs"/>
          <w:u w:val="single"/>
          <w:rtl/>
        </w:rPr>
        <w:t>ה</w:t>
      </w:r>
      <w:r w:rsidRPr="00B87CAC">
        <w:rPr>
          <w:rFonts w:cs="Arial"/>
          <w:u w:val="single"/>
          <w:rtl/>
        </w:rPr>
        <w:t>רב חיים מוולוז'ין</w:t>
      </w:r>
    </w:p>
    <w:p w14:paraId="383443D4" w14:textId="391CFF9B" w:rsidR="000F62B6" w:rsidRDefault="006C14AC" w:rsidP="006C14AC">
      <w:r>
        <w:rPr>
          <w:rFonts w:cs="Arial"/>
          <w:rtl/>
        </w:rPr>
        <w:t>רבי חיים מוולוז'ין (1749-1821) היה מגדולי תלמידיו של הגר"א וממניחי היסודות של עולם הישיבות הליטאי. הוא נולד בוולוז'ין שבבלארוס, למד אצל הגר"א מווילנה, ולאחר מכן הקים בשנת 1803 את ישיבת וולוז'ין, שהפכה לאחת הישיבות החשובות והמשפיעות בעולם היהודי. ספרו המרכזי, "נפש החיים", עוסק במהות האדם, כוח הבחירה, משמעות לימוד התורה והקשר שבין מעשי האדם לבין המציאות הרוחנית. אחד הרעיונות המרכזיים בספר הוא שלמעשי האדם יש כוח משמעותי הרבה מעבר לחייו הפרטיים, ולכן האדם אינו רק מקבל מציאות רוחנית קיימת, אלא שותף בבנייתה. רעיון זה עומד גם בבסיס דבריו ביחידה על העולם הבא כ"מעשה ידי האדם עצמו".</w:t>
      </w:r>
    </w:p>
    <w:sectPr w:rsidR="000F62B6" w:rsidSect="00ED18C1">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B863" w14:textId="77777777" w:rsidR="00ED18C1" w:rsidRDefault="00ED18C1" w:rsidP="00ED18C1">
      <w:pPr>
        <w:spacing w:after="0" w:line="240" w:lineRule="auto"/>
      </w:pPr>
      <w:r>
        <w:separator/>
      </w:r>
    </w:p>
  </w:endnote>
  <w:endnote w:type="continuationSeparator" w:id="0">
    <w:p w14:paraId="1506081F" w14:textId="77777777" w:rsidR="00ED18C1" w:rsidRDefault="00ED18C1" w:rsidP="00ED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E86A" w14:textId="77777777" w:rsidR="00ED18C1" w:rsidRDefault="00ED18C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F112" w14:textId="77777777" w:rsidR="00ED18C1" w:rsidRDefault="00ED18C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1C57" w14:textId="77777777" w:rsidR="00ED18C1" w:rsidRDefault="00ED18C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AB2EB" w14:textId="77777777" w:rsidR="00ED18C1" w:rsidRDefault="00ED18C1" w:rsidP="00ED18C1">
      <w:pPr>
        <w:spacing w:after="0" w:line="240" w:lineRule="auto"/>
      </w:pPr>
      <w:r>
        <w:separator/>
      </w:r>
    </w:p>
  </w:footnote>
  <w:footnote w:type="continuationSeparator" w:id="0">
    <w:p w14:paraId="2A87CBAD" w14:textId="77777777" w:rsidR="00ED18C1" w:rsidRDefault="00ED18C1" w:rsidP="00ED1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AACC" w14:textId="77777777" w:rsidR="00ED18C1" w:rsidRDefault="00ED18C1">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79F8" w14:textId="77777777" w:rsidR="00ED18C1" w:rsidRDefault="00ED18C1">
    <w:r>
      <w:pict w14:anchorId="674E9D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5CDB7D3A" w14:textId="77777777" w:rsidR="00ED18C1" w:rsidRDefault="00ED18C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DCA9" w14:textId="77777777" w:rsidR="00ED18C1" w:rsidRDefault="00ED18C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B40"/>
    <w:multiLevelType w:val="hybridMultilevel"/>
    <w:tmpl w:val="35AED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2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C9"/>
    <w:rsid w:val="000F62B6"/>
    <w:rsid w:val="00130C0B"/>
    <w:rsid w:val="001A4CC9"/>
    <w:rsid w:val="00617340"/>
    <w:rsid w:val="00652242"/>
    <w:rsid w:val="006C10CA"/>
    <w:rsid w:val="006C14AC"/>
    <w:rsid w:val="00792613"/>
    <w:rsid w:val="00826676"/>
    <w:rsid w:val="008F0119"/>
    <w:rsid w:val="00AE6B86"/>
    <w:rsid w:val="00B5523B"/>
    <w:rsid w:val="00B87CAC"/>
    <w:rsid w:val="00CA3487"/>
    <w:rsid w:val="00ED18C1"/>
    <w:rsid w:val="00F00C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25C85F"/>
  <w15:chartTrackingRefBased/>
  <w15:docId w15:val="{FDFA462A-6174-4C2B-BA6B-9551301D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1A4C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4C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4C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4C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4C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4C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4C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4C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4C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A4CC9"/>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1A4CC9"/>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1A4CC9"/>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1A4CC9"/>
    <w:rPr>
      <w:rFonts w:eastAsiaTheme="majorEastAsia" w:cstheme="majorBidi"/>
      <w:i/>
      <w:iCs/>
      <w:color w:val="2F5496" w:themeColor="accent1" w:themeShade="BF"/>
    </w:rPr>
  </w:style>
  <w:style w:type="character" w:customStyle="1" w:styleId="50">
    <w:name w:val="כותרת 5 תו"/>
    <w:basedOn w:val="a0"/>
    <w:link w:val="5"/>
    <w:uiPriority w:val="9"/>
    <w:semiHidden/>
    <w:rsid w:val="001A4CC9"/>
    <w:rPr>
      <w:rFonts w:eastAsiaTheme="majorEastAsia" w:cstheme="majorBidi"/>
      <w:color w:val="2F5496" w:themeColor="accent1" w:themeShade="BF"/>
    </w:rPr>
  </w:style>
  <w:style w:type="character" w:customStyle="1" w:styleId="60">
    <w:name w:val="כותרת 6 תו"/>
    <w:basedOn w:val="a0"/>
    <w:link w:val="6"/>
    <w:uiPriority w:val="9"/>
    <w:semiHidden/>
    <w:rsid w:val="001A4CC9"/>
    <w:rPr>
      <w:rFonts w:eastAsiaTheme="majorEastAsia" w:cstheme="majorBidi"/>
      <w:i/>
      <w:iCs/>
      <w:color w:val="595959" w:themeColor="text1" w:themeTint="A6"/>
    </w:rPr>
  </w:style>
  <w:style w:type="character" w:customStyle="1" w:styleId="70">
    <w:name w:val="כותרת 7 תו"/>
    <w:basedOn w:val="a0"/>
    <w:link w:val="7"/>
    <w:uiPriority w:val="9"/>
    <w:semiHidden/>
    <w:rsid w:val="001A4CC9"/>
    <w:rPr>
      <w:rFonts w:eastAsiaTheme="majorEastAsia" w:cstheme="majorBidi"/>
      <w:color w:val="595959" w:themeColor="text1" w:themeTint="A6"/>
    </w:rPr>
  </w:style>
  <w:style w:type="character" w:customStyle="1" w:styleId="80">
    <w:name w:val="כותרת 8 תו"/>
    <w:basedOn w:val="a0"/>
    <w:link w:val="8"/>
    <w:uiPriority w:val="9"/>
    <w:semiHidden/>
    <w:rsid w:val="001A4CC9"/>
    <w:rPr>
      <w:rFonts w:eastAsiaTheme="majorEastAsia" w:cstheme="majorBidi"/>
      <w:i/>
      <w:iCs/>
      <w:color w:val="272727" w:themeColor="text1" w:themeTint="D8"/>
    </w:rPr>
  </w:style>
  <w:style w:type="character" w:customStyle="1" w:styleId="90">
    <w:name w:val="כותרת 9 תו"/>
    <w:basedOn w:val="a0"/>
    <w:link w:val="9"/>
    <w:uiPriority w:val="9"/>
    <w:semiHidden/>
    <w:rsid w:val="001A4CC9"/>
    <w:rPr>
      <w:rFonts w:eastAsiaTheme="majorEastAsia" w:cstheme="majorBidi"/>
      <w:color w:val="272727" w:themeColor="text1" w:themeTint="D8"/>
    </w:rPr>
  </w:style>
  <w:style w:type="paragraph" w:styleId="a3">
    <w:name w:val="Title"/>
    <w:basedOn w:val="a"/>
    <w:next w:val="a"/>
    <w:link w:val="a4"/>
    <w:uiPriority w:val="10"/>
    <w:qFormat/>
    <w:rsid w:val="001A4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1A4C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4CC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1A4CC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A4CC9"/>
    <w:pPr>
      <w:spacing w:before="160"/>
      <w:jc w:val="center"/>
    </w:pPr>
    <w:rPr>
      <w:i/>
      <w:iCs/>
      <w:color w:val="404040" w:themeColor="text1" w:themeTint="BF"/>
    </w:rPr>
  </w:style>
  <w:style w:type="character" w:customStyle="1" w:styleId="a8">
    <w:name w:val="ציטוט תו"/>
    <w:basedOn w:val="a0"/>
    <w:link w:val="a7"/>
    <w:uiPriority w:val="29"/>
    <w:rsid w:val="001A4CC9"/>
    <w:rPr>
      <w:i/>
      <w:iCs/>
      <w:color w:val="404040" w:themeColor="text1" w:themeTint="BF"/>
    </w:rPr>
  </w:style>
  <w:style w:type="paragraph" w:styleId="a9">
    <w:name w:val="List Paragraph"/>
    <w:basedOn w:val="a"/>
    <w:uiPriority w:val="34"/>
    <w:qFormat/>
    <w:rsid w:val="001A4CC9"/>
    <w:pPr>
      <w:ind w:left="720"/>
      <w:contextualSpacing/>
    </w:pPr>
  </w:style>
  <w:style w:type="character" w:styleId="aa">
    <w:name w:val="Intense Emphasis"/>
    <w:basedOn w:val="a0"/>
    <w:uiPriority w:val="21"/>
    <w:qFormat/>
    <w:rsid w:val="001A4CC9"/>
    <w:rPr>
      <w:i/>
      <w:iCs/>
      <w:color w:val="2F5496" w:themeColor="accent1" w:themeShade="BF"/>
    </w:rPr>
  </w:style>
  <w:style w:type="paragraph" w:styleId="ab">
    <w:name w:val="Intense Quote"/>
    <w:basedOn w:val="a"/>
    <w:next w:val="a"/>
    <w:link w:val="ac"/>
    <w:uiPriority w:val="30"/>
    <w:qFormat/>
    <w:rsid w:val="001A4C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1A4CC9"/>
    <w:rPr>
      <w:i/>
      <w:iCs/>
      <w:color w:val="2F5496" w:themeColor="accent1" w:themeShade="BF"/>
    </w:rPr>
  </w:style>
  <w:style w:type="character" w:styleId="ad">
    <w:name w:val="Intense Reference"/>
    <w:basedOn w:val="a0"/>
    <w:uiPriority w:val="32"/>
    <w:qFormat/>
    <w:rsid w:val="001A4CC9"/>
    <w:rPr>
      <w:b/>
      <w:bCs/>
      <w:smallCaps/>
      <w:color w:val="2F5496" w:themeColor="accent1" w:themeShade="BF"/>
      <w:spacing w:val="5"/>
    </w:rPr>
  </w:style>
  <w:style w:type="paragraph" w:styleId="ae">
    <w:name w:val="header"/>
    <w:basedOn w:val="a"/>
    <w:link w:val="af"/>
    <w:uiPriority w:val="99"/>
    <w:unhideWhenUsed/>
    <w:rsid w:val="00ED18C1"/>
    <w:pPr>
      <w:tabs>
        <w:tab w:val="center" w:pos="4153"/>
        <w:tab w:val="right" w:pos="8306"/>
      </w:tabs>
      <w:spacing w:after="0" w:line="240" w:lineRule="auto"/>
    </w:pPr>
  </w:style>
  <w:style w:type="character" w:customStyle="1" w:styleId="af">
    <w:name w:val="כותרת עליונה תו"/>
    <w:basedOn w:val="a0"/>
    <w:link w:val="ae"/>
    <w:uiPriority w:val="99"/>
    <w:rsid w:val="00ED18C1"/>
  </w:style>
  <w:style w:type="paragraph" w:styleId="af0">
    <w:name w:val="footer"/>
    <w:basedOn w:val="a"/>
    <w:link w:val="af1"/>
    <w:uiPriority w:val="99"/>
    <w:unhideWhenUsed/>
    <w:rsid w:val="00ED18C1"/>
    <w:pPr>
      <w:tabs>
        <w:tab w:val="center" w:pos="4153"/>
        <w:tab w:val="right" w:pos="8306"/>
      </w:tabs>
      <w:spacing w:after="0" w:line="240" w:lineRule="auto"/>
    </w:pPr>
  </w:style>
  <w:style w:type="character" w:customStyle="1" w:styleId="af1">
    <w:name w:val="כותרת תחתונה תו"/>
    <w:basedOn w:val="a0"/>
    <w:link w:val="af0"/>
    <w:uiPriority w:val="99"/>
    <w:rsid w:val="00ED1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632</Words>
  <Characters>3160</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7</cp:revision>
  <dcterms:created xsi:type="dcterms:W3CDTF">2026-08-17T17:50:00Z</dcterms:created>
  <dcterms:modified xsi:type="dcterms:W3CDTF">2026-09-16T10:52:00Z</dcterms:modified>
</cp:coreProperties>
</file>