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8E637" w14:textId="67791252" w:rsidR="004845E8" w:rsidRDefault="004845E8" w:rsidP="004845E8">
      <w:pPr>
        <w:jc w:val="center"/>
        <w:rPr>
          <w:rFonts w:cs="Arial"/>
          <w:rtl/>
        </w:rPr>
      </w:pPr>
      <w:r w:rsidRPr="004845E8">
        <w:rPr>
          <w:rFonts w:cs="Arial"/>
          <w:rtl/>
        </w:rPr>
        <w:t>"התקן עצמך בפרוזדור..."</w:t>
      </w:r>
      <w:r>
        <w:rPr>
          <w:rFonts w:cs="Arial" w:hint="cs"/>
          <w:rtl/>
        </w:rPr>
        <w:t xml:space="preserve">: </w:t>
      </w:r>
      <w:r w:rsidRPr="004845E8">
        <w:rPr>
          <w:rFonts w:cs="Arial"/>
          <w:rtl/>
        </w:rPr>
        <w:t>על הבחירה בטוב ו</w:t>
      </w:r>
      <w:r w:rsidR="00D44EAC">
        <w:rPr>
          <w:rFonts w:cs="Arial" w:hint="cs"/>
          <w:rtl/>
        </w:rPr>
        <w:t>תורת הגמול</w:t>
      </w:r>
      <w:r>
        <w:rPr>
          <w:rFonts w:cs="Arial" w:hint="cs"/>
          <w:rtl/>
        </w:rPr>
        <w:t xml:space="preserve"> </w:t>
      </w:r>
      <w:r>
        <w:rPr>
          <w:rFonts w:cs="Arial"/>
          <w:rtl/>
        </w:rPr>
        <w:t>–</w:t>
      </w:r>
      <w:r>
        <w:rPr>
          <w:rFonts w:cs="Arial" w:hint="cs"/>
          <w:rtl/>
        </w:rPr>
        <w:t xml:space="preserve"> דף לחונך</w:t>
      </w:r>
    </w:p>
    <w:p w14:paraId="5C13A6E6" w14:textId="33B6ED21" w:rsidR="004845E8" w:rsidRPr="004845E8" w:rsidRDefault="004845E8" w:rsidP="004845E8">
      <w:pPr>
        <w:rPr>
          <w:u w:val="single"/>
          <w:rtl/>
        </w:rPr>
      </w:pPr>
      <w:r w:rsidRPr="004845E8">
        <w:rPr>
          <w:rFonts w:cs="Arial"/>
          <w:u w:val="single"/>
          <w:rtl/>
        </w:rPr>
        <w:t>על רגל אחת</w:t>
      </w:r>
    </w:p>
    <w:p w14:paraId="78F69F9E" w14:textId="4C2214E7" w:rsidR="004845E8" w:rsidRDefault="004845E8" w:rsidP="004845E8">
      <w:pPr>
        <w:rPr>
          <w:rtl/>
        </w:rPr>
      </w:pPr>
      <w:r>
        <w:rPr>
          <w:rFonts w:cs="Arial"/>
          <w:rtl/>
        </w:rPr>
        <w:t>היחידה מזמינה את ה</w:t>
      </w:r>
      <w:r>
        <w:rPr>
          <w:rFonts w:cs="Arial" w:hint="cs"/>
          <w:rtl/>
        </w:rPr>
        <w:t>לומדים</w:t>
      </w:r>
      <w:r>
        <w:rPr>
          <w:rFonts w:cs="Arial"/>
          <w:rtl/>
        </w:rPr>
        <w:t xml:space="preserve"> להסתכל על החיים מתוך תמונה רחבה יותר מזו שהעיניים רואות. בעולם הזה לא תמיד נראה שהטוב משתלם והרוע נענש, ולכן האמונה בעולם הבא מציעה תפיסה שלפיה הסיפור האנושי אינו מסתיים כאן. דרך המקורות נבחן את משמעות השכר והעונש, את העולם הזה כ"פרוזדור" ואת האחריות האישית של כל אדם על בחירותיו. אך העולם הבא אינו רק הבטחה לפרס עתידי, אלא משנה את האופן שבו אנחנו מבינים את החיים עצמם: כל מעשה, בחירה ותיקון הם חלק מבניית האדם והנשמה. דווקא העובדה שהשכר אינו ניתן מיד מאפשרת בחירה אמיתית. השאלה הגדולה היא כיצד הידיעה שהחיים הם מסע שיש לו המשך משנה את הדרך שבה אנחנו בוחרים לחיות כבר עכשיו.</w:t>
      </w:r>
    </w:p>
    <w:p w14:paraId="285656FA" w14:textId="02C07B5E" w:rsidR="004845E8" w:rsidRDefault="004845E8" w:rsidP="004845E8">
      <w:pPr>
        <w:pStyle w:val="a9"/>
        <w:numPr>
          <w:ilvl w:val="0"/>
          <w:numId w:val="1"/>
        </w:numPr>
        <w:rPr>
          <w:rtl/>
        </w:rPr>
      </w:pPr>
      <w:r w:rsidRPr="004845E8">
        <w:rPr>
          <w:rFonts w:cs="Arial"/>
          <w:rtl/>
        </w:rPr>
        <w:t>דגש לחונך</w:t>
      </w:r>
      <w:r>
        <w:rPr>
          <w:rFonts w:hint="cs"/>
          <w:rtl/>
        </w:rPr>
        <w:t xml:space="preserve">: </w:t>
      </w:r>
      <w:r w:rsidRPr="004845E8">
        <w:rPr>
          <w:rFonts w:cs="Arial"/>
          <w:rtl/>
        </w:rPr>
        <w:t>מדובר בנושא אמוני שעלול להיתפס כמיסטי או רוחני מדי עבור חלק מהחניכים, במיוחד סביב מושגים כמו העולם הבא, גן עדן וגיהינום. בקבוצה שבה צפויה התנגדות לשפה הזו, מומלץ לא להתמקד בשאלה האם וכיצד מתקיים העולם הבא, אלא להשתמש במקורות כפתח לדיון רחב יותר על משמעות המעשים שלנו. אפשר להדגיש את הבחירה החופשית, האחריות האישית ואת ההכרה בכך שלמעשים שלנו יש השלכות שאינן תמיד גלויות או מיידיות, ולעיתים משפיעות על האדם, על סביבתו ועל מי שהוא הופך להיות.</w:t>
      </w:r>
    </w:p>
    <w:p w14:paraId="05AC110E" w14:textId="3745C223" w:rsidR="004845E8" w:rsidRPr="004845E8" w:rsidRDefault="004845E8" w:rsidP="004845E8">
      <w:pPr>
        <w:rPr>
          <w:u w:val="single"/>
          <w:rtl/>
        </w:rPr>
      </w:pPr>
      <w:r w:rsidRPr="004845E8">
        <w:rPr>
          <w:rFonts w:cs="Arial"/>
          <w:u w:val="single"/>
          <w:rtl/>
        </w:rPr>
        <w:t>רציונאל</w:t>
      </w:r>
    </w:p>
    <w:p w14:paraId="6A70B55D" w14:textId="4EBDBF7D" w:rsidR="004845E8" w:rsidRDefault="004845E8" w:rsidP="004845E8">
      <w:pPr>
        <w:rPr>
          <w:rtl/>
        </w:rPr>
      </w:pPr>
      <w:r>
        <w:rPr>
          <w:rFonts w:cs="Arial"/>
          <w:rtl/>
        </w:rPr>
        <w:t>היחידה מתחילה בתיאור המקראי של שכר ועונש בעולם הזה: ברכה, שפע והצלחה מצד אחד, ואובדן מצד שני. מכאן עולה הקושי המרכזי: אם המציאות אינה תמיד משקפת צדק גלוי, היכן מתממש החשבון השלם של מעשי האדם?</w:t>
      </w:r>
      <w:r>
        <w:rPr>
          <w:rFonts w:hint="cs"/>
          <w:rtl/>
        </w:rPr>
        <w:t xml:space="preserve"> </w:t>
      </w:r>
      <w:r>
        <w:rPr>
          <w:rFonts w:cs="Arial"/>
          <w:rtl/>
        </w:rPr>
        <w:t>המקורות הבאים מציגים את תפיסת העולם הבא. המדרש והמשנה באבות מציבים שני עולמות ומדמים את העולם הזה לפרוזדור לקראת הטרקלין. האדם אינו רק נהנה מהחיים, אלא נמצא בתהליך של הכנה, תיקון ובניית אישיות לקראת מציאות רחבה יותר.</w:t>
      </w:r>
    </w:p>
    <w:p w14:paraId="78067B14" w14:textId="645F23CB" w:rsidR="004845E8" w:rsidRDefault="004845E8" w:rsidP="004845E8">
      <w:pPr>
        <w:rPr>
          <w:rtl/>
        </w:rPr>
      </w:pPr>
      <w:r>
        <w:rPr>
          <w:rFonts w:cs="Arial"/>
          <w:rtl/>
        </w:rPr>
        <w:t xml:space="preserve">האברבנאל מוסיף הבחנה חשובה: השכר הגשמי המתואר בתורה יכול להיות שייך לכלל האומה, בעוד שהגמול הרוחני תלוי באדם הפרטי ובבחירותיו. </w:t>
      </w:r>
      <w:r>
        <w:rPr>
          <w:rFonts w:cs="Arial" w:hint="cs"/>
          <w:rtl/>
        </w:rPr>
        <w:t xml:space="preserve">זו הסיבה שנושא העולם הבא אינו מופיע מפורשות בתנ"ך. </w:t>
      </w:r>
      <w:r>
        <w:rPr>
          <w:rFonts w:cs="Arial"/>
          <w:rtl/>
        </w:rPr>
        <w:t>כך מתחדדת האחריות האישית: אדם אינו יכול להישען על החברה או על הקבוצה כדי לקבוע את גורלו הרוחני.</w:t>
      </w:r>
      <w:r>
        <w:rPr>
          <w:rFonts w:hint="cs"/>
          <w:rtl/>
        </w:rPr>
        <w:t xml:space="preserve"> </w:t>
      </w:r>
      <w:r>
        <w:rPr>
          <w:rFonts w:cs="Arial"/>
          <w:rtl/>
        </w:rPr>
        <w:t>בסיום הרב מלמד מחבר בין העולם הבא לבין הבחירה החופשית. אילו כל מעשה טוב היה מתוגמל מיד וכל מעשה רע נענש מיד, הבחירה הייתה מאבדת ממשמעותה. דווקא ההסתרה והעובדה שהחשבון אינו תמיד נראה לעין יוצרות מרחב שבו האדם יכול לבחור בטוב מתוך חירות ואחריות. העולם הבא, אם כן, אינו רק תשובה לשאלת הצדק, אלא תפיסה שמעניקה לחיים כאן ועכשיו משמעות של מסע, בחירה ותיקון.</w:t>
      </w:r>
    </w:p>
    <w:p w14:paraId="2BAC97D7" w14:textId="77777777" w:rsidR="004845E8" w:rsidRDefault="004845E8" w:rsidP="004845E8">
      <w:pPr>
        <w:rPr>
          <w:rtl/>
        </w:rPr>
      </w:pPr>
    </w:p>
    <w:p w14:paraId="09B215FD" w14:textId="30ED1157" w:rsidR="004845E8" w:rsidRPr="004845E8" w:rsidRDefault="004845E8" w:rsidP="004845E8">
      <w:pPr>
        <w:rPr>
          <w:u w:val="single"/>
          <w:rtl/>
        </w:rPr>
      </w:pPr>
      <w:r w:rsidRPr="004845E8">
        <w:rPr>
          <w:rFonts w:cs="Arial"/>
          <w:u w:val="single"/>
          <w:rtl/>
        </w:rPr>
        <w:t>תובנות מרכזיות</w:t>
      </w:r>
    </w:p>
    <w:p w14:paraId="3F0F456F" w14:textId="11BF1458" w:rsidR="004845E8" w:rsidRDefault="004845E8" w:rsidP="006D2396">
      <w:pPr>
        <w:pStyle w:val="a9"/>
        <w:numPr>
          <w:ilvl w:val="0"/>
          <w:numId w:val="1"/>
        </w:numPr>
        <w:rPr>
          <w:rtl/>
        </w:rPr>
      </w:pPr>
      <w:r w:rsidRPr="006D2396">
        <w:rPr>
          <w:rFonts w:cs="Arial"/>
          <w:rtl/>
        </w:rPr>
        <w:t>פרשת עקב, דברים ז: התורה מציגה קשר בין בחירת האדם לבין שכר ועונש, ומלמדת שהמעשים שלנו אינם חסרי משמעות גם כאשר תוצאותיהם אינן תמיד מיידיות.</w:t>
      </w:r>
    </w:p>
    <w:p w14:paraId="17B5263A" w14:textId="6A7C305C" w:rsidR="004845E8" w:rsidRDefault="004845E8" w:rsidP="006D2396">
      <w:pPr>
        <w:pStyle w:val="a9"/>
        <w:numPr>
          <w:ilvl w:val="0"/>
          <w:numId w:val="1"/>
        </w:numPr>
        <w:rPr>
          <w:rtl/>
        </w:rPr>
      </w:pPr>
      <w:r w:rsidRPr="006D2396">
        <w:rPr>
          <w:rFonts w:cs="Arial"/>
          <w:rtl/>
        </w:rPr>
        <w:t>בראשית רבה: העולם נברא עם רמז לשני עולמות, העולם הזה והעולם הבא, ובכך מוצגת המציאות האנושית כחלק מתמונה רחבה יותר שאינה מסתיימת בחיים הגשמיים.</w:t>
      </w:r>
    </w:p>
    <w:p w14:paraId="560A53DF" w14:textId="395822B2" w:rsidR="004845E8" w:rsidRDefault="004845E8" w:rsidP="006D2396">
      <w:pPr>
        <w:pStyle w:val="a9"/>
        <w:numPr>
          <w:ilvl w:val="0"/>
          <w:numId w:val="1"/>
        </w:numPr>
        <w:rPr>
          <w:rtl/>
        </w:rPr>
      </w:pPr>
      <w:r w:rsidRPr="006D2396">
        <w:rPr>
          <w:rFonts w:cs="Arial"/>
          <w:rtl/>
        </w:rPr>
        <w:t>משנה אבות: העולם הזה הוא "פרוזדור" והאדם נדרש "להתקין עצמו" בו, כלומר לראות את חייו כהזדמנות להכנה, תיקון ובניית האישיות לקראת הטרקלין.</w:t>
      </w:r>
    </w:p>
    <w:p w14:paraId="6540737E" w14:textId="77777777" w:rsidR="004845E8" w:rsidRDefault="004845E8" w:rsidP="006D2396">
      <w:pPr>
        <w:pStyle w:val="a9"/>
        <w:numPr>
          <w:ilvl w:val="0"/>
          <w:numId w:val="1"/>
        </w:numPr>
        <w:rPr>
          <w:rtl/>
        </w:rPr>
      </w:pPr>
      <w:r w:rsidRPr="006D2396">
        <w:rPr>
          <w:rFonts w:cs="Arial"/>
          <w:rtl/>
        </w:rPr>
        <w:t>רבי יצחק אברבנאל: הגמול הגשמי יכול להתייחס לכלל החברה, בעוד שהגמול הרוחני הוא אישי ותלוי במעשיו של כל אדם, ולכן האחריות הרוחנית אינה יכולה לעבור אל הכלל.</w:t>
      </w:r>
    </w:p>
    <w:p w14:paraId="749B8EAC" w14:textId="77777777" w:rsidR="004845E8" w:rsidRDefault="004845E8" w:rsidP="004845E8">
      <w:pPr>
        <w:rPr>
          <w:rtl/>
        </w:rPr>
      </w:pPr>
    </w:p>
    <w:p w14:paraId="0EBD5DE4" w14:textId="77777777" w:rsidR="004845E8" w:rsidRDefault="004845E8" w:rsidP="006D2396">
      <w:pPr>
        <w:pStyle w:val="a9"/>
        <w:numPr>
          <w:ilvl w:val="0"/>
          <w:numId w:val="1"/>
        </w:numPr>
        <w:rPr>
          <w:rtl/>
        </w:rPr>
      </w:pPr>
      <w:r w:rsidRPr="006D2396">
        <w:rPr>
          <w:rFonts w:cs="Arial"/>
          <w:rtl/>
        </w:rPr>
        <w:t>הרב אליעזר מלמד: העובדה שהשכר והעונש אינם מופיעים מיד היא תנאי לבחירה חופשית, משום שהאדם צריך לבחור בטוב גם כאשר התוצאה אינה מובטחת או נראית לעין.</w:t>
      </w:r>
    </w:p>
    <w:p w14:paraId="11C79B9E" w14:textId="77777777" w:rsidR="004845E8" w:rsidRDefault="004845E8" w:rsidP="004845E8">
      <w:pPr>
        <w:rPr>
          <w:rtl/>
        </w:rPr>
      </w:pPr>
    </w:p>
    <w:p w14:paraId="4F6109D0" w14:textId="08494B6A" w:rsidR="004845E8" w:rsidRPr="004845E8" w:rsidRDefault="004845E8" w:rsidP="004845E8">
      <w:pPr>
        <w:rPr>
          <w:u w:val="single"/>
          <w:rtl/>
        </w:rPr>
      </w:pPr>
      <w:r w:rsidRPr="004845E8">
        <w:rPr>
          <w:rFonts w:cs="Arial"/>
          <w:u w:val="single"/>
          <w:rtl/>
        </w:rPr>
        <w:t>מי האיש</w:t>
      </w:r>
      <w:r w:rsidRPr="004845E8">
        <w:rPr>
          <w:rFonts w:hint="cs"/>
          <w:u w:val="single"/>
          <w:rtl/>
        </w:rPr>
        <w:t xml:space="preserve">: </w:t>
      </w:r>
      <w:r w:rsidRPr="004845E8">
        <w:rPr>
          <w:rFonts w:cs="Arial"/>
          <w:u w:val="single"/>
          <w:rtl/>
        </w:rPr>
        <w:t>רבי יצחק אברבנאל</w:t>
      </w:r>
    </w:p>
    <w:p w14:paraId="5CEC614F" w14:textId="4597D97A" w:rsidR="000F62B6" w:rsidRDefault="004845E8" w:rsidP="004845E8">
      <w:r>
        <w:rPr>
          <w:rFonts w:cs="Arial"/>
          <w:rtl/>
        </w:rPr>
        <w:t>רבי יצחק אברבנאל (1437-1508) היה מדינאי, מנהיג יהודי, פרשן מקרא ופילוסוף, שנולד בפורטוגל ופעל גם בספרד ובאיטליה בתקופה הסוערת של גירוש ספרד. הוא שימש בתפקידים מדיניים בכירים וניהל קשרים עם מלכים ושליטים, אך בעקבות גירוש היהודים מספרד בשנת 1492 נדד בין ארצות אירופה והקדיש חלק ניכר מחייו ללימוד ולכתיבה. פירושיו לתורה ולנביאים מתאפיינים בשילוב בין פרשנות מסורתית, שאלות פילוסופיות, היכרות עמוקה עם המציאות המדינית והחברתית ודיון שיטתי בשאלות של אמונה והשגחה. הוא הרבה לעסוק בשאלות כמו משמעות הגלות, בחירה חופשית, השגחה אלו</w:t>
      </w:r>
      <w:r>
        <w:rPr>
          <w:rFonts w:cs="Arial" w:hint="cs"/>
          <w:rtl/>
        </w:rPr>
        <w:t>ק</w:t>
      </w:r>
      <w:r>
        <w:rPr>
          <w:rFonts w:cs="Arial"/>
          <w:rtl/>
        </w:rPr>
        <w:t>ית וגאולה. הייחוד שלו הוא בכך שלא כתב מתוך בית מדרש מנותק מהעולם, אלא מתוך חיים שבהם חווה בעצמו טלטלות פוליטיות, גירוש ואובדן מעמד, והמשיך לחפש בתוך המציאות ההיסטורית את משמעות האמונה והאחריות האנושית.</w:t>
      </w:r>
    </w:p>
    <w:sectPr w:rsidR="000F62B6" w:rsidSect="000E093D">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E85B0" w14:textId="77777777" w:rsidR="000E093D" w:rsidRDefault="000E093D" w:rsidP="000E093D">
      <w:pPr>
        <w:spacing w:after="0" w:line="240" w:lineRule="auto"/>
      </w:pPr>
      <w:r>
        <w:separator/>
      </w:r>
    </w:p>
  </w:endnote>
  <w:endnote w:type="continuationSeparator" w:id="0">
    <w:p w14:paraId="14609059" w14:textId="77777777" w:rsidR="000E093D" w:rsidRDefault="000E093D" w:rsidP="000E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34E4" w14:textId="77777777" w:rsidR="000E093D" w:rsidRDefault="000E093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D3C5" w14:textId="77777777" w:rsidR="000E093D" w:rsidRDefault="000E093D">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C5CF" w14:textId="77777777" w:rsidR="000E093D" w:rsidRDefault="000E093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F74A" w14:textId="77777777" w:rsidR="000E093D" w:rsidRDefault="000E093D" w:rsidP="000E093D">
      <w:pPr>
        <w:spacing w:after="0" w:line="240" w:lineRule="auto"/>
      </w:pPr>
      <w:r>
        <w:separator/>
      </w:r>
    </w:p>
  </w:footnote>
  <w:footnote w:type="continuationSeparator" w:id="0">
    <w:p w14:paraId="6A1CEB22" w14:textId="77777777" w:rsidR="000E093D" w:rsidRDefault="000E093D" w:rsidP="000E0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2AD7" w14:textId="77777777" w:rsidR="000E093D" w:rsidRDefault="000E093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4C05" w14:textId="77777777" w:rsidR="000E093D" w:rsidRDefault="000E093D">
    <w:r>
      <w:pict w14:anchorId="1A324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161E3645" w14:textId="77777777" w:rsidR="000E093D" w:rsidRDefault="000E093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7A8D" w14:textId="77777777" w:rsidR="000E093D" w:rsidRDefault="000E093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63067"/>
    <w:multiLevelType w:val="hybridMultilevel"/>
    <w:tmpl w:val="548C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78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09"/>
    <w:rsid w:val="000E093D"/>
    <w:rsid w:val="000F62B6"/>
    <w:rsid w:val="004845E8"/>
    <w:rsid w:val="005D7509"/>
    <w:rsid w:val="00617340"/>
    <w:rsid w:val="00652242"/>
    <w:rsid w:val="006C10CA"/>
    <w:rsid w:val="006D2396"/>
    <w:rsid w:val="00751E1E"/>
    <w:rsid w:val="00792613"/>
    <w:rsid w:val="00826676"/>
    <w:rsid w:val="008F0119"/>
    <w:rsid w:val="00D44E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2B83A7"/>
  <w15:chartTrackingRefBased/>
  <w15:docId w15:val="{23E4251F-758A-46F0-8746-3E3EF750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5D75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75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75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D75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D75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D75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75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75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75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D7509"/>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5D7509"/>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5D7509"/>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5D7509"/>
    <w:rPr>
      <w:rFonts w:eastAsiaTheme="majorEastAsia" w:cstheme="majorBidi"/>
      <w:i/>
      <w:iCs/>
      <w:color w:val="2F5496" w:themeColor="accent1" w:themeShade="BF"/>
    </w:rPr>
  </w:style>
  <w:style w:type="character" w:customStyle="1" w:styleId="50">
    <w:name w:val="כותרת 5 תו"/>
    <w:basedOn w:val="a0"/>
    <w:link w:val="5"/>
    <w:uiPriority w:val="9"/>
    <w:semiHidden/>
    <w:rsid w:val="005D7509"/>
    <w:rPr>
      <w:rFonts w:eastAsiaTheme="majorEastAsia" w:cstheme="majorBidi"/>
      <w:color w:val="2F5496" w:themeColor="accent1" w:themeShade="BF"/>
    </w:rPr>
  </w:style>
  <w:style w:type="character" w:customStyle="1" w:styleId="60">
    <w:name w:val="כותרת 6 תו"/>
    <w:basedOn w:val="a0"/>
    <w:link w:val="6"/>
    <w:uiPriority w:val="9"/>
    <w:semiHidden/>
    <w:rsid w:val="005D7509"/>
    <w:rPr>
      <w:rFonts w:eastAsiaTheme="majorEastAsia" w:cstheme="majorBidi"/>
      <w:i/>
      <w:iCs/>
      <w:color w:val="595959" w:themeColor="text1" w:themeTint="A6"/>
    </w:rPr>
  </w:style>
  <w:style w:type="character" w:customStyle="1" w:styleId="70">
    <w:name w:val="כותרת 7 תו"/>
    <w:basedOn w:val="a0"/>
    <w:link w:val="7"/>
    <w:uiPriority w:val="9"/>
    <w:semiHidden/>
    <w:rsid w:val="005D7509"/>
    <w:rPr>
      <w:rFonts w:eastAsiaTheme="majorEastAsia" w:cstheme="majorBidi"/>
      <w:color w:val="595959" w:themeColor="text1" w:themeTint="A6"/>
    </w:rPr>
  </w:style>
  <w:style w:type="character" w:customStyle="1" w:styleId="80">
    <w:name w:val="כותרת 8 תו"/>
    <w:basedOn w:val="a0"/>
    <w:link w:val="8"/>
    <w:uiPriority w:val="9"/>
    <w:semiHidden/>
    <w:rsid w:val="005D7509"/>
    <w:rPr>
      <w:rFonts w:eastAsiaTheme="majorEastAsia" w:cstheme="majorBidi"/>
      <w:i/>
      <w:iCs/>
      <w:color w:val="272727" w:themeColor="text1" w:themeTint="D8"/>
    </w:rPr>
  </w:style>
  <w:style w:type="character" w:customStyle="1" w:styleId="90">
    <w:name w:val="כותרת 9 תו"/>
    <w:basedOn w:val="a0"/>
    <w:link w:val="9"/>
    <w:uiPriority w:val="9"/>
    <w:semiHidden/>
    <w:rsid w:val="005D7509"/>
    <w:rPr>
      <w:rFonts w:eastAsiaTheme="majorEastAsia" w:cstheme="majorBidi"/>
      <w:color w:val="272727" w:themeColor="text1" w:themeTint="D8"/>
    </w:rPr>
  </w:style>
  <w:style w:type="paragraph" w:styleId="a3">
    <w:name w:val="Title"/>
    <w:basedOn w:val="a"/>
    <w:next w:val="a"/>
    <w:link w:val="a4"/>
    <w:uiPriority w:val="10"/>
    <w:qFormat/>
    <w:rsid w:val="005D7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D75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750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D75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D7509"/>
    <w:pPr>
      <w:spacing w:before="160"/>
      <w:jc w:val="center"/>
    </w:pPr>
    <w:rPr>
      <w:i/>
      <w:iCs/>
      <w:color w:val="404040" w:themeColor="text1" w:themeTint="BF"/>
    </w:rPr>
  </w:style>
  <w:style w:type="character" w:customStyle="1" w:styleId="a8">
    <w:name w:val="ציטוט תו"/>
    <w:basedOn w:val="a0"/>
    <w:link w:val="a7"/>
    <w:uiPriority w:val="29"/>
    <w:rsid w:val="005D7509"/>
    <w:rPr>
      <w:i/>
      <w:iCs/>
      <w:color w:val="404040" w:themeColor="text1" w:themeTint="BF"/>
    </w:rPr>
  </w:style>
  <w:style w:type="paragraph" w:styleId="a9">
    <w:name w:val="List Paragraph"/>
    <w:basedOn w:val="a"/>
    <w:uiPriority w:val="34"/>
    <w:qFormat/>
    <w:rsid w:val="005D7509"/>
    <w:pPr>
      <w:ind w:left="720"/>
      <w:contextualSpacing/>
    </w:pPr>
  </w:style>
  <w:style w:type="character" w:styleId="aa">
    <w:name w:val="Intense Emphasis"/>
    <w:basedOn w:val="a0"/>
    <w:uiPriority w:val="21"/>
    <w:qFormat/>
    <w:rsid w:val="005D7509"/>
    <w:rPr>
      <w:i/>
      <w:iCs/>
      <w:color w:val="2F5496" w:themeColor="accent1" w:themeShade="BF"/>
    </w:rPr>
  </w:style>
  <w:style w:type="paragraph" w:styleId="ab">
    <w:name w:val="Intense Quote"/>
    <w:basedOn w:val="a"/>
    <w:next w:val="a"/>
    <w:link w:val="ac"/>
    <w:uiPriority w:val="30"/>
    <w:qFormat/>
    <w:rsid w:val="005D75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5D7509"/>
    <w:rPr>
      <w:i/>
      <w:iCs/>
      <w:color w:val="2F5496" w:themeColor="accent1" w:themeShade="BF"/>
    </w:rPr>
  </w:style>
  <w:style w:type="character" w:styleId="ad">
    <w:name w:val="Intense Reference"/>
    <w:basedOn w:val="a0"/>
    <w:uiPriority w:val="32"/>
    <w:qFormat/>
    <w:rsid w:val="005D7509"/>
    <w:rPr>
      <w:b/>
      <w:bCs/>
      <w:smallCaps/>
      <w:color w:val="2F5496" w:themeColor="accent1" w:themeShade="BF"/>
      <w:spacing w:val="5"/>
    </w:rPr>
  </w:style>
  <w:style w:type="paragraph" w:styleId="ae">
    <w:name w:val="header"/>
    <w:basedOn w:val="a"/>
    <w:link w:val="af"/>
    <w:uiPriority w:val="99"/>
    <w:unhideWhenUsed/>
    <w:rsid w:val="000E093D"/>
    <w:pPr>
      <w:tabs>
        <w:tab w:val="center" w:pos="4153"/>
        <w:tab w:val="right" w:pos="8306"/>
      </w:tabs>
      <w:spacing w:after="0" w:line="240" w:lineRule="auto"/>
    </w:pPr>
  </w:style>
  <w:style w:type="character" w:customStyle="1" w:styleId="af">
    <w:name w:val="כותרת עליונה תו"/>
    <w:basedOn w:val="a0"/>
    <w:link w:val="ae"/>
    <w:uiPriority w:val="99"/>
    <w:rsid w:val="000E093D"/>
  </w:style>
  <w:style w:type="paragraph" w:styleId="af0">
    <w:name w:val="footer"/>
    <w:basedOn w:val="a"/>
    <w:link w:val="af1"/>
    <w:uiPriority w:val="99"/>
    <w:unhideWhenUsed/>
    <w:rsid w:val="000E093D"/>
    <w:pPr>
      <w:tabs>
        <w:tab w:val="center" w:pos="4153"/>
        <w:tab w:val="right" w:pos="8306"/>
      </w:tabs>
      <w:spacing w:after="0" w:line="240" w:lineRule="auto"/>
    </w:pPr>
  </w:style>
  <w:style w:type="character" w:customStyle="1" w:styleId="af1">
    <w:name w:val="כותרת תחתונה תו"/>
    <w:basedOn w:val="a0"/>
    <w:link w:val="af0"/>
    <w:uiPriority w:val="99"/>
    <w:rsid w:val="000E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609</Words>
  <Characters>3047</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5</cp:revision>
  <dcterms:created xsi:type="dcterms:W3CDTF">2026-08-16T13:39:00Z</dcterms:created>
  <dcterms:modified xsi:type="dcterms:W3CDTF">2026-09-16T10:52:00Z</dcterms:modified>
</cp:coreProperties>
</file>