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LH.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E1FB8" w14:textId="26E388B3" w:rsidR="005E4EDA" w:rsidRDefault="005E4EDA" w:rsidP="005E4EDA">
      <w:pPr>
        <w:jc w:val="center"/>
        <w:rPr>
          <w:rtl/>
        </w:rPr>
      </w:pPr>
      <w:r>
        <w:rPr>
          <w:rFonts w:cs="Arial"/>
          <w:rtl/>
        </w:rPr>
        <w:t>דף מלווה: למה דווקא לי? - שלושה שלבים על היחס לקשיים הפוקדים את האדם</w:t>
      </w:r>
    </w:p>
    <w:p w14:paraId="68E2CB08" w14:textId="74A2DC1F" w:rsidR="005E4EDA" w:rsidRDefault="005E4EDA" w:rsidP="005E4EDA">
      <w:pPr>
        <w:rPr>
          <w:rtl/>
        </w:rPr>
      </w:pPr>
      <w:r>
        <w:rPr>
          <w:rFonts w:cs="Arial"/>
          <w:rtl/>
        </w:rPr>
        <w:t>על רגל אחת</w:t>
      </w:r>
    </w:p>
    <w:p w14:paraId="5F93F1BB" w14:textId="77777777" w:rsidR="005E4EDA" w:rsidRDefault="005E4EDA" w:rsidP="005E4EDA">
      <w:pPr>
        <w:rPr>
          <w:rtl/>
        </w:rPr>
      </w:pPr>
      <w:r>
        <w:rPr>
          <w:rFonts w:cs="Arial"/>
          <w:rtl/>
        </w:rPr>
        <w:t xml:space="preserve">היחידה עוסקת בהתמודדות עם קשיים ומשברים ובשאלת מקומה של האמונה כשהמציאות אינה מובנת. שלושת השלבים מציעים דרכי התבוננות שונות: להכיר בכך שהחיים כוללים תהפוכות ולהכין את הנפש לקראתן, לראות את החיים כשליחות שיש לאדם כוחות למלא, ולפרש את הקשיים מתוך אמונה בהשגחה ובאפשרות לתיקון. היחידה אינה מתיימרת להסביר מדוע כל כאב מתרחש, אלא לבחון כיצד אפשר להתמודד </w:t>
      </w:r>
      <w:proofErr w:type="spellStart"/>
      <w:r>
        <w:rPr>
          <w:rFonts w:cs="Arial"/>
          <w:rtl/>
        </w:rPr>
        <w:t>איתו</w:t>
      </w:r>
      <w:proofErr w:type="spellEnd"/>
      <w:r>
        <w:rPr>
          <w:rFonts w:cs="Arial"/>
          <w:rtl/>
        </w:rPr>
        <w:t xml:space="preserve"> ולמצוא דרך להמשיך לפעול בתוכו.</w:t>
      </w:r>
    </w:p>
    <w:p w14:paraId="5586F8D7" w14:textId="42A2B776" w:rsidR="005E4EDA" w:rsidRDefault="005E4EDA" w:rsidP="005E4EDA">
      <w:pPr>
        <w:pStyle w:val="a9"/>
        <w:numPr>
          <w:ilvl w:val="0"/>
          <w:numId w:val="1"/>
        </w:numPr>
        <w:rPr>
          <w:rtl/>
        </w:rPr>
      </w:pPr>
      <w:r>
        <w:rPr>
          <w:rFonts w:hint="cs"/>
          <w:rtl/>
        </w:rPr>
        <w:t xml:space="preserve">דגש לחונך: יש לגשת ליחידה בהרבה רגישות. ייתכן שבין המשתתפים ישנם כאלה שעברו בחייהם קושי גדול, אבדן של קרוב, ילדות קשה </w:t>
      </w:r>
      <w:proofErr w:type="spellStart"/>
      <w:r>
        <w:rPr>
          <w:rFonts w:hint="cs"/>
          <w:rtl/>
        </w:rPr>
        <w:t>וכו</w:t>
      </w:r>
      <w:proofErr w:type="spellEnd"/>
      <w:r>
        <w:rPr>
          <w:rFonts w:hint="cs"/>
          <w:rtl/>
        </w:rPr>
        <w:t xml:space="preserve">'. כדאי להשתמש בביטוי "אמונה" גם במובנה היהודי כאמונה בבורא </w:t>
      </w:r>
      <w:proofErr w:type="spellStart"/>
      <w:r>
        <w:rPr>
          <w:rFonts w:hint="cs"/>
          <w:rtl/>
        </w:rPr>
        <w:t>וכו</w:t>
      </w:r>
      <w:proofErr w:type="spellEnd"/>
      <w:r>
        <w:rPr>
          <w:rFonts w:hint="cs"/>
          <w:rtl/>
        </w:rPr>
        <w:t xml:space="preserve">', וגם במובנה ה"חילוני" כמקור של </w:t>
      </w:r>
      <w:proofErr w:type="spellStart"/>
      <w:r>
        <w:rPr>
          <w:rFonts w:hint="cs"/>
          <w:rtl/>
        </w:rPr>
        <w:t>כח</w:t>
      </w:r>
      <w:proofErr w:type="spellEnd"/>
      <w:r>
        <w:rPr>
          <w:rFonts w:hint="cs"/>
          <w:rtl/>
        </w:rPr>
        <w:t xml:space="preserve"> וידיעה פנימית שמאפשרת לעבור קשיים. אם הנושא "בוער" באחד המשתתפים או יוצר התנגדות, נכון וכדאי להמשיך את השיח מעבר למפגש, להבין על מה זה יושב. נקודת האמונה והקושי מול משברים, היא יסודית מאד בהבדל בין מי שגדל בבית מאמין ובין מי שלא- יש להיות מודע לנקודה הזו ולגשת למפגש עם אוזן קשבת.</w:t>
      </w:r>
    </w:p>
    <w:p w14:paraId="49AD8E7D" w14:textId="77777777" w:rsidR="005E4EDA" w:rsidRDefault="005E4EDA" w:rsidP="005E4EDA">
      <w:pPr>
        <w:rPr>
          <w:rtl/>
        </w:rPr>
      </w:pPr>
    </w:p>
    <w:p w14:paraId="15CD4523" w14:textId="2E39494C" w:rsidR="005E4EDA" w:rsidRDefault="005E4EDA" w:rsidP="005E4EDA">
      <w:pPr>
        <w:rPr>
          <w:rtl/>
        </w:rPr>
      </w:pPr>
      <w:proofErr w:type="spellStart"/>
      <w:r>
        <w:rPr>
          <w:rFonts w:cs="Arial"/>
          <w:rtl/>
        </w:rPr>
        <w:t>רציונאל</w:t>
      </w:r>
      <w:proofErr w:type="spellEnd"/>
    </w:p>
    <w:p w14:paraId="3883CD3B" w14:textId="77777777" w:rsidR="005E4EDA" w:rsidRDefault="005E4EDA" w:rsidP="005E4EDA">
      <w:pPr>
        <w:rPr>
          <w:rFonts w:cs="Arial"/>
          <w:rtl/>
        </w:rPr>
      </w:pPr>
      <w:r>
        <w:rPr>
          <w:rFonts w:cs="Arial"/>
          <w:rtl/>
        </w:rPr>
        <w:t xml:space="preserve">היחידה נוגעת באחת השאלות הקשות בחיי האדם המאמין: מה קורה לאמונה כאשר המציאות מביאה כאב, אובדן או חוסר צדק? השלב הראשון, </w:t>
      </w:r>
      <w:r>
        <w:rPr>
          <w:rFonts w:cs="Arial" w:hint="cs"/>
          <w:rtl/>
        </w:rPr>
        <w:t>בדברי</w:t>
      </w:r>
      <w:r>
        <w:rPr>
          <w:rFonts w:cs="Arial"/>
          <w:rtl/>
        </w:rPr>
        <w:t xml:space="preserve"> רבנו תם, מציע לבנות חוסן נפשי מתוך הכרה שהחיים אינם יציבים ושגם תקופות טובות עלולות להשתנות. אין פירוש הדבר לחיות בפחד, אלא לפתח יכולת לפגוש את המציאות בלי שכל שינוי יערער את עולמו של האדם. השלב השני מעביר את המבט אל כוחותיו ותפקידו של האדם. מדרש שמות רבה מלמד שההתמודדות מותאמת לכוחו של כל אחד, והרב יוסף דב </w:t>
      </w:r>
      <w:proofErr w:type="spellStart"/>
      <w:r>
        <w:rPr>
          <w:rFonts w:cs="Arial"/>
          <w:rtl/>
        </w:rPr>
        <w:t>סולוביצ'יק</w:t>
      </w:r>
      <w:proofErr w:type="spellEnd"/>
      <w:r>
        <w:rPr>
          <w:rFonts w:cs="Arial"/>
          <w:rtl/>
        </w:rPr>
        <w:t xml:space="preserve"> מציע לראות את החיים כשליחות מתמשכת, המותאמת לאדם ולנסיבות שבהן הוא חי. השלב השלישי מציג את תפיסת האמונה שלפיה אירועים אינם מנותקים מהשגחה אלוקית. הרמב"ם קורא להפוך צרה להזדמנות לחשבון נפש ולתיקון, והרב </w:t>
      </w:r>
      <w:proofErr w:type="spellStart"/>
      <w:r>
        <w:rPr>
          <w:rFonts w:cs="Arial"/>
          <w:rtl/>
        </w:rPr>
        <w:t>דסלר</w:t>
      </w:r>
      <w:proofErr w:type="spellEnd"/>
      <w:r>
        <w:rPr>
          <w:rFonts w:cs="Arial"/>
          <w:rtl/>
        </w:rPr>
        <w:t xml:space="preserve"> מדגיש שהמציאות הגלויה אינה בהכרח התמונה המלאה. </w:t>
      </w:r>
    </w:p>
    <w:p w14:paraId="7EE206B5" w14:textId="74A5D3CF" w:rsidR="005E4EDA" w:rsidRDefault="005E4EDA" w:rsidP="005E4EDA">
      <w:pPr>
        <w:pStyle w:val="a9"/>
        <w:numPr>
          <w:ilvl w:val="0"/>
          <w:numId w:val="1"/>
        </w:numPr>
        <w:rPr>
          <w:rtl/>
        </w:rPr>
      </w:pPr>
      <w:r w:rsidRPr="005E4EDA">
        <w:rPr>
          <w:rFonts w:cs="Arial" w:hint="cs"/>
          <w:rtl/>
        </w:rPr>
        <w:t xml:space="preserve">דגש לחונך: </w:t>
      </w:r>
      <w:r w:rsidRPr="005E4EDA">
        <w:rPr>
          <w:rFonts w:cs="Arial"/>
          <w:rtl/>
        </w:rPr>
        <w:t>חשוב להחזיק את המקורות האלה לצד ההכרה בגבולות ההבנה האנושית: אין בידינו לדעת מדוע אדם מסוים סובל או לקבוע שכל אסון נגרם בגלל מעשיו. מטרת הלימוד היא לא לספק הסבר פשוט לכאב, אלא לפתוח דרכים להתמודדות, לאחריות ולשמירה על האמונה גם כשנותרות שאלות ללא מענה.</w:t>
      </w:r>
    </w:p>
    <w:p w14:paraId="40285A65" w14:textId="77777777" w:rsidR="005E4EDA" w:rsidRDefault="005E4EDA" w:rsidP="005E4EDA">
      <w:pPr>
        <w:rPr>
          <w:rtl/>
        </w:rPr>
      </w:pPr>
    </w:p>
    <w:p w14:paraId="6B7E2CF5" w14:textId="77774ED3" w:rsidR="005E4EDA" w:rsidRDefault="005E4EDA" w:rsidP="005E4EDA">
      <w:pPr>
        <w:rPr>
          <w:rtl/>
        </w:rPr>
      </w:pPr>
      <w:r>
        <w:rPr>
          <w:rFonts w:cs="Arial"/>
          <w:rtl/>
        </w:rPr>
        <w:t>תובנות מרכזיות</w:t>
      </w:r>
    </w:p>
    <w:p w14:paraId="39517E40" w14:textId="3717FCB9" w:rsidR="005E4EDA" w:rsidRDefault="005E4EDA" w:rsidP="005E4EDA">
      <w:pPr>
        <w:pStyle w:val="a9"/>
        <w:numPr>
          <w:ilvl w:val="0"/>
          <w:numId w:val="1"/>
        </w:numPr>
        <w:rPr>
          <w:rtl/>
        </w:rPr>
      </w:pPr>
      <w:r w:rsidRPr="005E4EDA">
        <w:rPr>
          <w:rFonts w:cs="Arial"/>
          <w:rtl/>
        </w:rPr>
        <w:t>רבנו תם מלמד שהחיים כוללים תהפוכות, ושאדם שבונה את יציבותו רק על ההנחה שהכול ימשיך להתנהל לטובה עלול להתערער כשהמציאות משתנה. הכנה נפשית לקשיים אינה מחייבת פסימיות, אלא מאפשרת לאדם ליהנות מהטוב בלי להניח שהוא מובטח לנצח.</w:t>
      </w:r>
    </w:p>
    <w:p w14:paraId="7183FB9B" w14:textId="2E4719A7" w:rsidR="005E4EDA" w:rsidRDefault="005E4EDA" w:rsidP="005E4EDA">
      <w:pPr>
        <w:pStyle w:val="a9"/>
        <w:numPr>
          <w:ilvl w:val="0"/>
          <w:numId w:val="1"/>
        </w:numPr>
        <w:rPr>
          <w:rtl/>
        </w:rPr>
      </w:pPr>
      <w:r w:rsidRPr="005E4EDA">
        <w:rPr>
          <w:rFonts w:cs="Arial"/>
          <w:rtl/>
        </w:rPr>
        <w:t>מדרש שמות רבה מציע שהקב"ה מתאים את ההתמודדות לכוחותיו של כל אדם. תפיסה זו עשויה לחזק את האמון ביכולת להתמודד, אך אין פירושה שכל קושי מרגיש אפשרי או שאדם צריך לשאת אותו לבדו. לפעמים גילוי הכוחות מתבטא דווקא בנכונות לבקש עזרה.</w:t>
      </w:r>
    </w:p>
    <w:p w14:paraId="6F585F18" w14:textId="77777777" w:rsidR="005E4EDA" w:rsidRDefault="005E4EDA" w:rsidP="005E4EDA">
      <w:pPr>
        <w:pStyle w:val="a9"/>
        <w:numPr>
          <w:ilvl w:val="0"/>
          <w:numId w:val="1"/>
        </w:numPr>
        <w:rPr>
          <w:rtl/>
        </w:rPr>
      </w:pPr>
      <w:r w:rsidRPr="005E4EDA">
        <w:rPr>
          <w:rFonts w:cs="Arial"/>
          <w:rtl/>
        </w:rPr>
        <w:t xml:space="preserve">הרב יוסף דב </w:t>
      </w:r>
      <w:proofErr w:type="spellStart"/>
      <w:r w:rsidRPr="005E4EDA">
        <w:rPr>
          <w:rFonts w:cs="Arial"/>
          <w:rtl/>
        </w:rPr>
        <w:t>סולוביצ'יק</w:t>
      </w:r>
      <w:proofErr w:type="spellEnd"/>
      <w:r w:rsidRPr="005E4EDA">
        <w:rPr>
          <w:rFonts w:cs="Arial"/>
          <w:rtl/>
        </w:rPr>
        <w:t xml:space="preserve"> מציג את האדם כשליח שנולד בזמן ובמקום שבהם הוא יכול למלא תפקיד ייחודי. השליחות אינה בהכרח משימה גדולה או מפורסמת, אלא עשייה מתמשכת, והאדם נדרש לבחור כיצד להיענות לה. גם בתקופות קשות אפשר לשאול מה עדיין נמצא בידינו לעשות.</w:t>
      </w:r>
    </w:p>
    <w:p w14:paraId="65E1F6D8" w14:textId="5FCBF61A" w:rsidR="005E4EDA" w:rsidRDefault="005E4EDA" w:rsidP="005E4EDA">
      <w:pPr>
        <w:pStyle w:val="a9"/>
        <w:numPr>
          <w:ilvl w:val="0"/>
          <w:numId w:val="1"/>
        </w:numPr>
        <w:rPr>
          <w:rtl/>
        </w:rPr>
      </w:pPr>
      <w:r w:rsidRPr="005E4EDA">
        <w:rPr>
          <w:rFonts w:cs="Arial"/>
          <w:rtl/>
        </w:rPr>
        <w:t xml:space="preserve">הרמב"ם מלמד שבעת צרה יש לעצור ולבחון את מעשינו ואת הדרכים שבהן אנחנו יכולים להשתנות. ההתמודדות אינה מסתכמת בהמתנה שהמצב יעבור, אלא עשויה להפוך להזדמנות לתיקון אישי וציבורי. עם זאת, אין להסיק מכך שאסון מסוים הוא בהכרח עונש על מעשיו של אדם או ציבור </w:t>
      </w:r>
      <w:r w:rsidRPr="005E4EDA">
        <w:rPr>
          <w:rFonts w:cs="Arial" w:hint="cs"/>
          <w:rtl/>
        </w:rPr>
        <w:t>ספציפיים.</w:t>
      </w:r>
    </w:p>
    <w:p w14:paraId="0D87933C" w14:textId="2EAD1E56" w:rsidR="005E4EDA" w:rsidRDefault="005E4EDA" w:rsidP="005E4EDA">
      <w:pPr>
        <w:pStyle w:val="a9"/>
        <w:numPr>
          <w:ilvl w:val="0"/>
          <w:numId w:val="1"/>
        </w:numPr>
        <w:rPr>
          <w:rtl/>
        </w:rPr>
      </w:pPr>
      <w:r w:rsidRPr="005E4EDA">
        <w:rPr>
          <w:rFonts w:cs="Arial"/>
          <w:rtl/>
        </w:rPr>
        <w:lastRenderedPageBreak/>
        <w:t xml:space="preserve">הרב </w:t>
      </w:r>
      <w:proofErr w:type="spellStart"/>
      <w:r w:rsidRPr="005E4EDA">
        <w:rPr>
          <w:rFonts w:cs="Arial"/>
          <w:rtl/>
        </w:rPr>
        <w:t>דסלר</w:t>
      </w:r>
      <w:proofErr w:type="spellEnd"/>
      <w:r w:rsidRPr="005E4EDA">
        <w:rPr>
          <w:rFonts w:cs="Arial"/>
          <w:rtl/>
        </w:rPr>
        <w:t xml:space="preserve"> מדמה את המציאות הגלויה למבט דרך חור מנעול: אנחנו רואים חלק קטן מהתמונה, ולא בהכרח את מכלול הסיבות והמשמעויות. האמונה מציעה לראות את המציאות כחלק מהשגחה רחבה יותר, גם כאשר האדם אינו מסוגל להבין אותה. היא אינה מבטלת את השאלות, אלא מאפשרת להחזיק בהן לצד האמונה.</w:t>
      </w:r>
    </w:p>
    <w:p w14:paraId="25281BB9" w14:textId="77777777" w:rsidR="005E4EDA" w:rsidRDefault="005E4EDA" w:rsidP="005E4EDA">
      <w:pPr>
        <w:pStyle w:val="a9"/>
        <w:numPr>
          <w:ilvl w:val="0"/>
          <w:numId w:val="1"/>
        </w:numPr>
        <w:rPr>
          <w:rtl/>
        </w:rPr>
      </w:pPr>
      <w:r w:rsidRPr="005E4EDA">
        <w:rPr>
          <w:rFonts w:cs="Arial"/>
          <w:rtl/>
        </w:rPr>
        <w:t>שלושת השלבים מציעים כיוונים משלימים להתמודדות: להתכונן לתהפוכות החיים, להכיר בכוחות ובאחריות שלנו, ולמצוא משמעות בתוך מציאות שאיננו מבינים במלואה. האתגר הוא להחזיק באמונה בלי להתיימר לדעת את חשבונותיו של הקב"ה, ולהפוך את ההתמודדות למקור של צמיחה ועשייה במקום לייאוש ולחוסר אונים.</w:t>
      </w:r>
    </w:p>
    <w:p w14:paraId="0EBC4128" w14:textId="77777777" w:rsidR="005E4EDA" w:rsidRDefault="005E4EDA" w:rsidP="005E4EDA">
      <w:pPr>
        <w:rPr>
          <w:rtl/>
        </w:rPr>
      </w:pPr>
    </w:p>
    <w:p w14:paraId="4454CE4B" w14:textId="434F6D5D" w:rsidR="005E4EDA" w:rsidRDefault="005E4EDA" w:rsidP="005E4EDA">
      <w:pPr>
        <w:rPr>
          <w:rtl/>
        </w:rPr>
      </w:pPr>
      <w:r>
        <w:rPr>
          <w:rFonts w:cs="Arial"/>
          <w:rtl/>
        </w:rPr>
        <w:t>מי האיש</w:t>
      </w:r>
    </w:p>
    <w:p w14:paraId="628ECE2F" w14:textId="54AA4537" w:rsidR="005E4EDA" w:rsidRDefault="005E4EDA" w:rsidP="00FD58C1">
      <w:pPr>
        <w:rPr>
          <w:rtl/>
        </w:rPr>
      </w:pPr>
      <w:r>
        <w:rPr>
          <w:rFonts w:cs="Arial"/>
          <w:rtl/>
        </w:rPr>
        <w:t>רבנו תם</w:t>
      </w:r>
      <w:r w:rsidR="00FD58C1">
        <w:rPr>
          <w:rFonts w:hint="cs"/>
          <w:rtl/>
        </w:rPr>
        <w:t xml:space="preserve">: </w:t>
      </w:r>
      <w:r>
        <w:rPr>
          <w:rFonts w:cs="Arial"/>
          <w:rtl/>
        </w:rPr>
        <w:t>רבי יעקב בן מאיר (בערך 1100-1171), המכונה רבנו תם, היה מגדולי בעלי התוספות ומחשובי חכמי צרפת בימי הביניים. הוא היה נכדו של רש"י ונודע בזכות תרומתו המרכזית ללימוד התלמוד ולפסיקת ההלכה. לצד עיסוקו התורני עסק גם בפרשנות ובמחשבה, וספר "ספר הישר" המיוחס לו כולל דיונים הלכתיים לצד עיונים פילוסופיים ומוסריים. דבריו על התמודדות עם תהפוכות החיים מדגישים את חשיבות ההכנה הנפשית ואת היכולת לשמור על יציבות גם כאשר הנסיבות משתנות.</w:t>
      </w:r>
    </w:p>
    <w:p w14:paraId="51AEFB4D" w14:textId="77777777" w:rsidR="005E4EDA" w:rsidRDefault="005E4EDA" w:rsidP="005E4EDA">
      <w:pPr>
        <w:rPr>
          <w:rtl/>
        </w:rPr>
      </w:pPr>
    </w:p>
    <w:p w14:paraId="5AF9F271" w14:textId="297E1CC3" w:rsidR="005E4EDA" w:rsidRDefault="005E4EDA" w:rsidP="00FD58C1">
      <w:pPr>
        <w:rPr>
          <w:rtl/>
        </w:rPr>
      </w:pPr>
      <w:r>
        <w:rPr>
          <w:rFonts w:cs="Arial"/>
          <w:rtl/>
        </w:rPr>
        <w:t xml:space="preserve">הרב יוסף דב </w:t>
      </w:r>
      <w:proofErr w:type="spellStart"/>
      <w:r>
        <w:rPr>
          <w:rFonts w:cs="Arial"/>
          <w:rtl/>
        </w:rPr>
        <w:t>סולוביצ'יק</w:t>
      </w:r>
      <w:proofErr w:type="spellEnd"/>
      <w:r w:rsidR="00FD58C1">
        <w:rPr>
          <w:rFonts w:hint="cs"/>
          <w:rtl/>
        </w:rPr>
        <w:t xml:space="preserve">: </w:t>
      </w:r>
      <w:r>
        <w:rPr>
          <w:rFonts w:cs="Arial"/>
          <w:rtl/>
        </w:rPr>
        <w:t xml:space="preserve">הרב יוסף דב הלוי </w:t>
      </w:r>
      <w:proofErr w:type="spellStart"/>
      <w:r>
        <w:rPr>
          <w:rFonts w:cs="Arial"/>
          <w:rtl/>
        </w:rPr>
        <w:t>סולוביצ'יק</w:t>
      </w:r>
      <w:proofErr w:type="spellEnd"/>
      <w:r>
        <w:rPr>
          <w:rFonts w:cs="Arial"/>
          <w:rtl/>
        </w:rPr>
        <w:t xml:space="preserve"> (1903-1993) היה רב, פילוסוף והוגה דעות מרכזי ביהדות האורתודוקסית בארצות הברית במאה ה-20. הוא נולד למשפחת רבנים ידועה </w:t>
      </w:r>
      <w:proofErr w:type="spellStart"/>
      <w:r>
        <w:rPr>
          <w:rFonts w:cs="Arial"/>
          <w:rtl/>
        </w:rPr>
        <w:t>בבריסק</w:t>
      </w:r>
      <w:proofErr w:type="spellEnd"/>
      <w:r>
        <w:rPr>
          <w:rFonts w:cs="Arial"/>
          <w:rtl/>
        </w:rPr>
        <w:t xml:space="preserve">, למד באוניברסיטת ברלין והיגר לארצות הברית, שם לימד בישיבה </w:t>
      </w:r>
      <w:proofErr w:type="spellStart"/>
      <w:r>
        <w:rPr>
          <w:rFonts w:cs="Arial"/>
          <w:rtl/>
        </w:rPr>
        <w:t>יוניברסיטי</w:t>
      </w:r>
      <w:proofErr w:type="spellEnd"/>
      <w:r>
        <w:rPr>
          <w:rFonts w:cs="Arial"/>
          <w:rtl/>
        </w:rPr>
        <w:t xml:space="preserve"> והשפיע רבות על עולם התורה וההגות היהודית. כתביו עוסקים באמונה, באחריות האדם, בבדידות, במשבר ובמשמעות החיים. בספרו "ימי זיכרון" הוא מציג את האדם כמי שנושא שליחות ייחודית, ובעל חופש בחירה להיענות לה לאורך חייו.</w:t>
      </w:r>
    </w:p>
    <w:p w14:paraId="41D6B6DC" w14:textId="77777777" w:rsidR="005E4EDA" w:rsidRDefault="005E4EDA" w:rsidP="005E4EDA">
      <w:pPr>
        <w:rPr>
          <w:rtl/>
        </w:rPr>
      </w:pPr>
    </w:p>
    <w:p w14:paraId="4F2B5179" w14:textId="7F5EB16D" w:rsidR="000F62B6" w:rsidRDefault="005E4EDA" w:rsidP="00FD58C1">
      <w:r>
        <w:rPr>
          <w:rFonts w:cs="Arial"/>
          <w:rtl/>
        </w:rPr>
        <w:t xml:space="preserve">הרב אליהו אליעזר </w:t>
      </w:r>
      <w:proofErr w:type="spellStart"/>
      <w:r>
        <w:rPr>
          <w:rFonts w:cs="Arial"/>
          <w:rtl/>
        </w:rPr>
        <w:t>דסלר</w:t>
      </w:r>
      <w:proofErr w:type="spellEnd"/>
      <w:r w:rsidR="00FD58C1">
        <w:rPr>
          <w:rFonts w:hint="cs"/>
          <w:rtl/>
        </w:rPr>
        <w:t xml:space="preserve">: </w:t>
      </w:r>
      <w:r>
        <w:rPr>
          <w:rFonts w:cs="Arial"/>
          <w:rtl/>
        </w:rPr>
        <w:t xml:space="preserve">הרב אליהו אליעזר </w:t>
      </w:r>
      <w:proofErr w:type="spellStart"/>
      <w:r>
        <w:rPr>
          <w:rFonts w:cs="Arial"/>
          <w:rtl/>
        </w:rPr>
        <w:t>דסלר</w:t>
      </w:r>
      <w:proofErr w:type="spellEnd"/>
      <w:r>
        <w:rPr>
          <w:rFonts w:cs="Arial"/>
          <w:rtl/>
        </w:rPr>
        <w:t xml:space="preserve"> (1892-1953) היה רב והוגה דעות מרכזי בתנועת המוסר במאה ה-20. הוא שימש משגיח רוחני בישיבת </w:t>
      </w:r>
      <w:proofErr w:type="spellStart"/>
      <w:r>
        <w:rPr>
          <w:rFonts w:cs="Arial"/>
          <w:rtl/>
        </w:rPr>
        <w:t>פוניבז</w:t>
      </w:r>
      <w:proofErr w:type="spellEnd"/>
      <w:r>
        <w:rPr>
          <w:rFonts w:cs="Arial"/>
          <w:rtl/>
        </w:rPr>
        <w:t>' ונודע בעיסוקו בעולמו הפנימי של האדם, באמונה, בבחירה החופשית, בנתינה ובתיקון המידות. רעיונותיו נאספו בסדרת הספרים "מכתב מאליהו". בדבריו על ההשגחה הוא מדגיש שהמציאות הנראית לעין אינה בהכרח מלמדת על התמונה השלמה, ושאמונה מאפשרת לאדם לראות את האירועים כחלק ממציאות רחבה יותר, גם כאשר אין בידו להבין את משמעותם.</w:t>
      </w:r>
    </w:p>
    <w:sectPr w:rsidR="000F62B6" w:rsidSect="00826676">
      <w:headerReference w:type="default" r:id="rIdLH"/>
      <w:pgSz w:w="11906" w:h="16838"/>
      <w:pgMar w:top="2211" w:right="1247" w:bottom="1474" w:left="124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LH.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D149" w14:textId="77777777" w:rsidR="00532ECB" w:rsidRDefault="00532ECB">
    <w:r>
      <w:pict w14:anchorId="7715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600.2pt;height:849pt;z-index:-251658240;mso-position-horizontal:center;mso-position-horizontal-relative:margin;mso-position-vertical:center;mso-position-vertical-relative:margin">
          <v:imagedata r:id="rId1" o:title="image1"/>
          <w10:wrap anchorx="margin" anchory="margin"/>
        </v:shape>
      </w:pict>
    </w:r>
  </w:p>
  <w:p w14:paraId="0D0FF2B8" w14:textId="77777777" w:rsidR="00532ECB" w:rsidRDefault="00532EC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653D0"/>
    <w:multiLevelType w:val="hybridMultilevel"/>
    <w:tmpl w:val="36AE0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6232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410"/>
    <w:rsid w:val="000F62B6"/>
    <w:rsid w:val="005E4EDA"/>
    <w:rsid w:val="00652242"/>
    <w:rsid w:val="006C10CA"/>
    <w:rsid w:val="00792613"/>
    <w:rsid w:val="00826676"/>
    <w:rsid w:val="00E02410"/>
    <w:rsid w:val="00E374B6"/>
    <w:rsid w:val="00FD58C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2AD65"/>
  <w15:chartTrackingRefBased/>
  <w15:docId w15:val="{4664D283-343D-4A3B-AE13-1A7974287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E024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024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0241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0241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0241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0241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0241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0241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0241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E02410"/>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E02410"/>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E02410"/>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E02410"/>
    <w:rPr>
      <w:rFonts w:eastAsiaTheme="majorEastAsia" w:cstheme="majorBidi"/>
      <w:i/>
      <w:iCs/>
      <w:color w:val="2F5496" w:themeColor="accent1" w:themeShade="BF"/>
    </w:rPr>
  </w:style>
  <w:style w:type="character" w:customStyle="1" w:styleId="50">
    <w:name w:val="כותרת 5 תו"/>
    <w:basedOn w:val="a0"/>
    <w:link w:val="5"/>
    <w:uiPriority w:val="9"/>
    <w:semiHidden/>
    <w:rsid w:val="00E02410"/>
    <w:rPr>
      <w:rFonts w:eastAsiaTheme="majorEastAsia" w:cstheme="majorBidi"/>
      <w:color w:val="2F5496" w:themeColor="accent1" w:themeShade="BF"/>
    </w:rPr>
  </w:style>
  <w:style w:type="character" w:customStyle="1" w:styleId="60">
    <w:name w:val="כותרת 6 תו"/>
    <w:basedOn w:val="a0"/>
    <w:link w:val="6"/>
    <w:uiPriority w:val="9"/>
    <w:semiHidden/>
    <w:rsid w:val="00E02410"/>
    <w:rPr>
      <w:rFonts w:eastAsiaTheme="majorEastAsia" w:cstheme="majorBidi"/>
      <w:i/>
      <w:iCs/>
      <w:color w:val="595959" w:themeColor="text1" w:themeTint="A6"/>
    </w:rPr>
  </w:style>
  <w:style w:type="character" w:customStyle="1" w:styleId="70">
    <w:name w:val="כותרת 7 תו"/>
    <w:basedOn w:val="a0"/>
    <w:link w:val="7"/>
    <w:uiPriority w:val="9"/>
    <w:semiHidden/>
    <w:rsid w:val="00E02410"/>
    <w:rPr>
      <w:rFonts w:eastAsiaTheme="majorEastAsia" w:cstheme="majorBidi"/>
      <w:color w:val="595959" w:themeColor="text1" w:themeTint="A6"/>
    </w:rPr>
  </w:style>
  <w:style w:type="character" w:customStyle="1" w:styleId="80">
    <w:name w:val="כותרת 8 תו"/>
    <w:basedOn w:val="a0"/>
    <w:link w:val="8"/>
    <w:uiPriority w:val="9"/>
    <w:semiHidden/>
    <w:rsid w:val="00E02410"/>
    <w:rPr>
      <w:rFonts w:eastAsiaTheme="majorEastAsia" w:cstheme="majorBidi"/>
      <w:i/>
      <w:iCs/>
      <w:color w:val="272727" w:themeColor="text1" w:themeTint="D8"/>
    </w:rPr>
  </w:style>
  <w:style w:type="character" w:customStyle="1" w:styleId="90">
    <w:name w:val="כותרת 9 תו"/>
    <w:basedOn w:val="a0"/>
    <w:link w:val="9"/>
    <w:uiPriority w:val="9"/>
    <w:semiHidden/>
    <w:rsid w:val="00E02410"/>
    <w:rPr>
      <w:rFonts w:eastAsiaTheme="majorEastAsia" w:cstheme="majorBidi"/>
      <w:color w:val="272727" w:themeColor="text1" w:themeTint="D8"/>
    </w:rPr>
  </w:style>
  <w:style w:type="paragraph" w:styleId="a3">
    <w:name w:val="Title"/>
    <w:basedOn w:val="a"/>
    <w:next w:val="a"/>
    <w:link w:val="a4"/>
    <w:uiPriority w:val="10"/>
    <w:qFormat/>
    <w:rsid w:val="00E024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E024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02410"/>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E0241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02410"/>
    <w:pPr>
      <w:spacing w:before="160"/>
      <w:jc w:val="center"/>
    </w:pPr>
    <w:rPr>
      <w:i/>
      <w:iCs/>
      <w:color w:val="404040" w:themeColor="text1" w:themeTint="BF"/>
    </w:rPr>
  </w:style>
  <w:style w:type="character" w:customStyle="1" w:styleId="a8">
    <w:name w:val="ציטוט תו"/>
    <w:basedOn w:val="a0"/>
    <w:link w:val="a7"/>
    <w:uiPriority w:val="29"/>
    <w:rsid w:val="00E02410"/>
    <w:rPr>
      <w:i/>
      <w:iCs/>
      <w:color w:val="404040" w:themeColor="text1" w:themeTint="BF"/>
    </w:rPr>
  </w:style>
  <w:style w:type="paragraph" w:styleId="a9">
    <w:name w:val="List Paragraph"/>
    <w:basedOn w:val="a"/>
    <w:uiPriority w:val="34"/>
    <w:qFormat/>
    <w:rsid w:val="00E02410"/>
    <w:pPr>
      <w:ind w:left="720"/>
      <w:contextualSpacing/>
    </w:pPr>
  </w:style>
  <w:style w:type="character" w:styleId="aa">
    <w:name w:val="Intense Emphasis"/>
    <w:basedOn w:val="a0"/>
    <w:uiPriority w:val="21"/>
    <w:qFormat/>
    <w:rsid w:val="00E02410"/>
    <w:rPr>
      <w:i/>
      <w:iCs/>
      <w:color w:val="2F5496" w:themeColor="accent1" w:themeShade="BF"/>
    </w:rPr>
  </w:style>
  <w:style w:type="paragraph" w:styleId="ab">
    <w:name w:val="Intense Quote"/>
    <w:basedOn w:val="a"/>
    <w:next w:val="a"/>
    <w:link w:val="ac"/>
    <w:uiPriority w:val="30"/>
    <w:qFormat/>
    <w:rsid w:val="00E024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E02410"/>
    <w:rPr>
      <w:i/>
      <w:iCs/>
      <w:color w:val="2F5496" w:themeColor="accent1" w:themeShade="BF"/>
    </w:rPr>
  </w:style>
  <w:style w:type="character" w:styleId="ad">
    <w:name w:val="Intense Reference"/>
    <w:basedOn w:val="a0"/>
    <w:uiPriority w:val="32"/>
    <w:qFormat/>
    <w:rsid w:val="00E0241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H" Type="http://schemas.openxmlformats.org/officeDocument/2006/relationships/header" Target="headerLH.xml"/></Relationships>
</file>

<file path=word/_rels/headerLH.xml.rels><?xml version="1.0" encoding="UTF-8" standalone="yes"?>
<Relationships xmlns="http://schemas.openxmlformats.org/package/2006/relationships"><Relationship Id="rId1" Type="http://schemas.openxmlformats.org/officeDocument/2006/relationships/image" Target="media/lh_image.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799</Words>
  <Characters>3995</Characters>
  <Application>Microsoft Office Word</Application>
  <DocSecurity>0</DocSecurity>
  <Lines>33</Lines>
  <Paragraphs>9</Paragraphs>
  <ScaleCrop>false</ScaleCrop>
  <Company/>
  <LinksUpToDate>false</LinksUpToDate>
  <CharactersWithSpaces>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מעיין משען</dc:creator>
  <cp:keywords/>
  <dc:description/>
  <cp:lastModifiedBy>מעיין משען</cp:lastModifiedBy>
  <cp:revision>3</cp:revision>
  <dcterms:created xsi:type="dcterms:W3CDTF">2026-10-18T09:08:00Z</dcterms:created>
  <dcterms:modified xsi:type="dcterms:W3CDTF">2026-10-18T09:17:00Z</dcterms:modified>
</cp:coreProperties>
</file>