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LH.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CAC18" w14:textId="45D9FA3D" w:rsidR="00A9457E" w:rsidRDefault="00A9457E" w:rsidP="00A9457E">
      <w:pPr>
        <w:rPr>
          <w:rtl/>
        </w:rPr>
      </w:pPr>
      <w:r>
        <w:rPr>
          <w:rFonts w:cs="Arial"/>
          <w:rtl/>
        </w:rPr>
        <w:t>דף מלווה: אל תאמר נער אנוכי - על צניעות וענווה</w:t>
      </w:r>
    </w:p>
    <w:p w14:paraId="2F3FF0E5" w14:textId="5661DA30" w:rsidR="00A9457E" w:rsidRPr="00A9457E" w:rsidRDefault="00A9457E" w:rsidP="00A9457E">
      <w:pPr>
        <w:rPr>
          <w:u w:val="single"/>
          <w:rtl/>
        </w:rPr>
      </w:pPr>
      <w:r w:rsidRPr="00A9457E">
        <w:rPr>
          <w:rFonts w:cs="Arial"/>
          <w:u w:val="single"/>
          <w:rtl/>
        </w:rPr>
        <w:t>על רגל אחת</w:t>
      </w:r>
    </w:p>
    <w:p w14:paraId="43095BDB" w14:textId="77777777" w:rsidR="00A9457E" w:rsidRDefault="00A9457E" w:rsidP="00A9457E">
      <w:pPr>
        <w:rPr>
          <w:rtl/>
        </w:rPr>
      </w:pPr>
      <w:r>
        <w:rPr>
          <w:rFonts w:cs="Arial"/>
          <w:rtl/>
        </w:rPr>
        <w:t>היחידה עוסקת בענווה שאינה הקטנה עצמית, אלא היכולת להכיר בכוחות ובמעלות שלנו בלי להפוך אותם למקור לגאווה ועליונות. האדם העניו יודע מי הוא ומה הוא מסוגל לעשות, אך אינו זקוק להוכיח זאת לאחרים. מתוך כך הוא מסוגל לפעול, לקחת אחריות, להרבות במעשים ולהמעיט בעיסוק בעצמו.</w:t>
      </w:r>
    </w:p>
    <w:p w14:paraId="5915B228" w14:textId="77777777" w:rsidR="00A9457E" w:rsidRDefault="00A9457E" w:rsidP="00A9457E">
      <w:pPr>
        <w:rPr>
          <w:rtl/>
        </w:rPr>
      </w:pPr>
    </w:p>
    <w:p w14:paraId="0059B4FE" w14:textId="02FC5016" w:rsidR="00A9457E" w:rsidRPr="00A9457E" w:rsidRDefault="00A9457E" w:rsidP="00A9457E">
      <w:pPr>
        <w:rPr>
          <w:u w:val="single"/>
          <w:rtl/>
        </w:rPr>
      </w:pPr>
      <w:proofErr w:type="spellStart"/>
      <w:r w:rsidRPr="00A9457E">
        <w:rPr>
          <w:rFonts w:cs="Arial"/>
          <w:u w:val="single"/>
          <w:rtl/>
        </w:rPr>
        <w:t>רציונאל</w:t>
      </w:r>
      <w:proofErr w:type="spellEnd"/>
    </w:p>
    <w:p w14:paraId="0C81194B" w14:textId="6867FA14" w:rsidR="00A9457E" w:rsidRDefault="00A9457E" w:rsidP="00A9457E">
      <w:pPr>
        <w:rPr>
          <w:rtl/>
        </w:rPr>
      </w:pPr>
      <w:r>
        <w:rPr>
          <w:rFonts w:cs="Arial"/>
          <w:rtl/>
        </w:rPr>
        <w:t>היחידה מבקשת לברר מהי ענווה אמיתית ומה ההבדל בינה לבין הקטנה עצמית או ענווה מזויפת. הגמרא מלמדת על הקשר שבין ענווה לבין היכולת לפנות מקום למשהו גדול מאיתנו, ומנהיגי התנ"ך מדגימים כיצד הכרה בגודל השליחות יכולה לעורר דווקא תחושת "מי אנוכי"</w:t>
      </w:r>
      <w:r>
        <w:rPr>
          <w:rFonts w:cs="Arial" w:hint="cs"/>
          <w:rtl/>
        </w:rPr>
        <w:t>- מי אני שאעשה זאת?</w:t>
      </w:r>
      <w:r>
        <w:rPr>
          <w:rFonts w:cs="Arial"/>
          <w:rtl/>
        </w:rPr>
        <w:t>. דרך דברי הסבא מקלם מובחן ההבדל בין ענווה לבין חוסר אמון ביכולת האישית: "אל תאמר נער אנוכי" הוא גם קריאה לאדם שלא להשתמש בצניעות כתירוץ להימנעות מעשייה. הרב אבינר מוסיף שהעניו אינו מתכחש לכוחותיו, אלא מכיר בהם בלי "להשתכר" מהם. הרמח"ל מזהיר מפני ענווה חיצונית שאינה משקפת את עולמו הפנימי של האדם</w:t>
      </w:r>
      <w:r>
        <w:rPr>
          <w:rFonts w:cs="Arial" w:hint="cs"/>
          <w:rtl/>
        </w:rPr>
        <w:t xml:space="preserve">. לסיום המשנה באבות, </w:t>
      </w:r>
      <w:r>
        <w:rPr>
          <w:rFonts w:cs="Arial"/>
          <w:rtl/>
        </w:rPr>
        <w:t xml:space="preserve">הרמב"ם ורבי חיים </w:t>
      </w:r>
      <w:proofErr w:type="spellStart"/>
      <w:r>
        <w:rPr>
          <w:rFonts w:cs="Arial"/>
          <w:rtl/>
        </w:rPr>
        <w:t>ויטאל</w:t>
      </w:r>
      <w:proofErr w:type="spellEnd"/>
      <w:r>
        <w:rPr>
          <w:rFonts w:cs="Arial"/>
          <w:rtl/>
        </w:rPr>
        <w:t xml:space="preserve"> מחברים בין ענווה לבין דרך המעשה: פחות לדבר על עצמנו ועל הישגינו, ויותר לעשות. כך הענווה מתגלה לא כהקטנת האדם, אלא כיכולת לפעול מתוך ביטחון </w:t>
      </w:r>
      <w:r>
        <w:rPr>
          <w:rFonts w:cs="Arial" w:hint="cs"/>
          <w:rtl/>
        </w:rPr>
        <w:t>אמיתי פנימי ו</w:t>
      </w:r>
      <w:r>
        <w:rPr>
          <w:rFonts w:cs="Arial"/>
          <w:rtl/>
        </w:rPr>
        <w:t>שקט, בלי שהצורך בהכרה ובכבוד יהפוך למרכז.</w:t>
      </w:r>
    </w:p>
    <w:p w14:paraId="4FB3FB62" w14:textId="77777777" w:rsidR="00A9457E" w:rsidRDefault="00A9457E" w:rsidP="00A9457E">
      <w:pPr>
        <w:rPr>
          <w:rtl/>
        </w:rPr>
      </w:pPr>
    </w:p>
    <w:p w14:paraId="44A01660" w14:textId="77F1B43E" w:rsidR="00A9457E" w:rsidRPr="00A9457E" w:rsidRDefault="00A9457E" w:rsidP="00A9457E">
      <w:pPr>
        <w:rPr>
          <w:u w:val="single"/>
          <w:rtl/>
        </w:rPr>
      </w:pPr>
      <w:r w:rsidRPr="00A9457E">
        <w:rPr>
          <w:rFonts w:cs="Arial"/>
          <w:u w:val="single"/>
          <w:rtl/>
        </w:rPr>
        <w:t>תובנות מרכזיות</w:t>
      </w:r>
    </w:p>
    <w:p w14:paraId="78FE8601" w14:textId="0E9CACB5" w:rsidR="00A9457E" w:rsidRDefault="00A9457E" w:rsidP="00A9457E">
      <w:pPr>
        <w:pStyle w:val="a9"/>
        <w:numPr>
          <w:ilvl w:val="0"/>
          <w:numId w:val="1"/>
        </w:numPr>
        <w:rPr>
          <w:rtl/>
        </w:rPr>
      </w:pPr>
      <w:r w:rsidRPr="00A9457E">
        <w:rPr>
          <w:rFonts w:cs="Arial"/>
          <w:rtl/>
        </w:rPr>
        <w:t>הגמרא במסכת סוטה מלמדת שהענווה מאפשרת לאדם לפנות מקום למשהו גדול ממנו. הגאווה, לעומת זאת, יוצרת תחושת עליונות שמרחיקה את האדם מן הזולת ומן הקב"ה.</w:t>
      </w:r>
    </w:p>
    <w:p w14:paraId="462466E8" w14:textId="2B9A4ABC" w:rsidR="00A9457E" w:rsidRDefault="00A9457E" w:rsidP="00A9457E">
      <w:pPr>
        <w:pStyle w:val="a9"/>
        <w:numPr>
          <w:ilvl w:val="0"/>
          <w:numId w:val="1"/>
        </w:numPr>
        <w:rPr>
          <w:rtl/>
        </w:rPr>
      </w:pPr>
      <w:r w:rsidRPr="00A9457E">
        <w:rPr>
          <w:rFonts w:cs="Arial"/>
          <w:rtl/>
        </w:rPr>
        <w:t>משה, דוד וירמיהו מדגימים כיצד אנשים גדולים אינם בהכרח ממהרים לראות בעצמם ראויים לגדולה. תחושת "מי אנוכי" יכולה להיות ביטוי לענווה, אך היא עלולה להפוך גם למכשול כאשר האדם משתמש בה כדי לברוח מאחריות.</w:t>
      </w:r>
    </w:p>
    <w:p w14:paraId="198B893D" w14:textId="5931E3DD" w:rsidR="00A9457E" w:rsidRDefault="00A9457E" w:rsidP="00A9457E">
      <w:pPr>
        <w:pStyle w:val="a9"/>
        <w:numPr>
          <w:ilvl w:val="0"/>
          <w:numId w:val="1"/>
        </w:numPr>
        <w:rPr>
          <w:rtl/>
        </w:rPr>
      </w:pPr>
      <w:r w:rsidRPr="00A9457E">
        <w:rPr>
          <w:rFonts w:cs="Arial"/>
          <w:rtl/>
        </w:rPr>
        <w:t>הסבא מקלם מציב גבול חשוב: "אל תאמר נער אנוכי". ענווה אינה אמורה למנוע מהאדם להכיר בכוחותיו או לממש את הפוטנציאל שלו.</w:t>
      </w:r>
    </w:p>
    <w:p w14:paraId="79502F48" w14:textId="7676DDCB" w:rsidR="00A9457E" w:rsidRDefault="00A9457E" w:rsidP="00A9457E">
      <w:pPr>
        <w:pStyle w:val="a9"/>
        <w:numPr>
          <w:ilvl w:val="0"/>
          <w:numId w:val="1"/>
        </w:numPr>
        <w:rPr>
          <w:rtl/>
        </w:rPr>
      </w:pPr>
      <w:r w:rsidRPr="00A9457E">
        <w:rPr>
          <w:rFonts w:cs="Arial"/>
          <w:rtl/>
        </w:rPr>
        <w:t xml:space="preserve">הרב אבינר </w:t>
      </w:r>
      <w:r w:rsidRPr="00A9457E">
        <w:rPr>
          <w:rFonts w:cs="Arial" w:hint="cs"/>
          <w:rtl/>
        </w:rPr>
        <w:t>מציין את ה</w:t>
      </w:r>
      <w:r w:rsidRPr="00A9457E">
        <w:rPr>
          <w:rFonts w:cs="Arial"/>
          <w:rtl/>
        </w:rPr>
        <w:t>גאווה לא כהכרה בכוחות, אלא כ"שכרות" מהם. אדם יכול לדעת שהוא מוכשר, מוצלח או בעל יכולות רבות, ועדיין להישאר עניו כאשר אינו הופך את המעלות הללו למקור של עליונות.</w:t>
      </w:r>
    </w:p>
    <w:p w14:paraId="7C51FBF6" w14:textId="54FB2FC6" w:rsidR="00A9457E" w:rsidRDefault="00A9457E" w:rsidP="00A9457E">
      <w:pPr>
        <w:pStyle w:val="a9"/>
        <w:numPr>
          <w:ilvl w:val="0"/>
          <w:numId w:val="1"/>
        </w:numPr>
        <w:rPr>
          <w:rtl/>
        </w:rPr>
      </w:pPr>
      <w:r w:rsidRPr="00A9457E">
        <w:rPr>
          <w:rFonts w:cs="Arial"/>
          <w:rtl/>
        </w:rPr>
        <w:t>הרמח"ל מזהיר מפני "ענווה פסולה", שבה האדם מציג כלפי חוץ צניעות אך בפנים נשאר עסוק בגדלותו. בסופו של דבר היחס הפנימי נחשף דרך המעשים</w:t>
      </w:r>
      <w:r w:rsidRPr="00A9457E">
        <w:rPr>
          <w:rFonts w:cs="Arial" w:hint="cs"/>
          <w:rtl/>
        </w:rPr>
        <w:t>.</w:t>
      </w:r>
    </w:p>
    <w:p w14:paraId="4A5C3321" w14:textId="08735DED" w:rsidR="00A9457E" w:rsidRDefault="00A9457E" w:rsidP="00A9457E">
      <w:pPr>
        <w:pStyle w:val="a9"/>
        <w:numPr>
          <w:ilvl w:val="0"/>
          <w:numId w:val="1"/>
        </w:numPr>
        <w:rPr>
          <w:rtl/>
        </w:rPr>
      </w:pPr>
      <w:r w:rsidRPr="00A9457E">
        <w:rPr>
          <w:rFonts w:cs="Arial"/>
          <w:rtl/>
        </w:rPr>
        <w:t>המשנה באבות "אמור מעט ועשה הרבה" מחברת בין ענווה לבין עשייה. אדם שאינו עסוק בהוכחת עצמו יכול להשקיע יותר באנרגיה של עשייה ממשית</w:t>
      </w:r>
      <w:r w:rsidRPr="00A9457E">
        <w:rPr>
          <w:rFonts w:cs="Arial" w:hint="cs"/>
          <w:rtl/>
        </w:rPr>
        <w:t xml:space="preserve"> מבלי צורך לפרסם ולתעד כל דבר</w:t>
      </w:r>
      <w:r w:rsidRPr="00A9457E">
        <w:rPr>
          <w:rFonts w:cs="Arial"/>
          <w:rtl/>
        </w:rPr>
        <w:t>.</w:t>
      </w:r>
      <w:r w:rsidRPr="00A9457E">
        <w:rPr>
          <w:rFonts w:cs="Arial" w:hint="cs"/>
          <w:rtl/>
        </w:rPr>
        <w:t xml:space="preserve"> ניתן להרחיב את הקטע הזה לתרבות בימינו שבה "אם לא צילמת- לא עשית"</w:t>
      </w:r>
      <w:r>
        <w:rPr>
          <w:rFonts w:hint="cs"/>
          <w:rtl/>
        </w:rPr>
        <w:t xml:space="preserve">. לתת מקום לעשייה שאין בה </w:t>
      </w:r>
      <w:proofErr w:type="spellStart"/>
      <w:r>
        <w:rPr>
          <w:rFonts w:hint="cs"/>
          <w:rtl/>
        </w:rPr>
        <w:t>דוקא</w:t>
      </w:r>
      <w:proofErr w:type="spellEnd"/>
      <w:r>
        <w:rPr>
          <w:rFonts w:hint="cs"/>
          <w:rtl/>
        </w:rPr>
        <w:t xml:space="preserve"> פרסום ותהילה אלא עשיה נטו- לשם עשיה.</w:t>
      </w:r>
    </w:p>
    <w:p w14:paraId="1F841EED" w14:textId="4E224EEE" w:rsidR="000F62B6" w:rsidRPr="00A9457E" w:rsidRDefault="00A9457E" w:rsidP="00A9457E">
      <w:pPr>
        <w:pStyle w:val="a9"/>
        <w:numPr>
          <w:ilvl w:val="0"/>
          <w:numId w:val="1"/>
        </w:numPr>
        <w:rPr>
          <w:rFonts w:cs="Arial"/>
          <w:rtl/>
        </w:rPr>
      </w:pPr>
      <w:r w:rsidRPr="00A9457E">
        <w:rPr>
          <w:rFonts w:cs="Arial"/>
          <w:rtl/>
        </w:rPr>
        <w:t xml:space="preserve">רבי חיים </w:t>
      </w:r>
      <w:proofErr w:type="spellStart"/>
      <w:r w:rsidRPr="00A9457E">
        <w:rPr>
          <w:rFonts w:cs="Arial"/>
          <w:rtl/>
        </w:rPr>
        <w:t>ויטאל</w:t>
      </w:r>
      <w:proofErr w:type="spellEnd"/>
      <w:r w:rsidRPr="00A9457E">
        <w:rPr>
          <w:rFonts w:cs="Arial"/>
          <w:rtl/>
        </w:rPr>
        <w:t xml:space="preserve"> מוסיף שגם מעשים טובים אינם צריכים להפוך לכלי ליצירת תדמית. עשייה שאינה זקוקה לפרסום מאפשרת לאדם לפעול מתוך המעשה עצמו ולא מתוך הצורך בהכרה עליו.</w:t>
      </w:r>
    </w:p>
    <w:p w14:paraId="4F851D8B" w14:textId="77777777" w:rsidR="00A9457E" w:rsidRDefault="00A9457E" w:rsidP="00A9457E">
      <w:pPr>
        <w:rPr>
          <w:rFonts w:cs="Arial"/>
          <w:rtl/>
        </w:rPr>
      </w:pPr>
    </w:p>
    <w:p w14:paraId="52162D62" w14:textId="3AEB6DF0" w:rsidR="00A9457E" w:rsidRPr="00A9457E" w:rsidRDefault="00A9457E" w:rsidP="00A9457E">
      <w:pPr>
        <w:rPr>
          <w:rFonts w:cs="Arial"/>
          <w:u w:val="single"/>
          <w:rtl/>
        </w:rPr>
      </w:pPr>
      <w:r w:rsidRPr="00A9457E">
        <w:rPr>
          <w:rFonts w:cs="Arial" w:hint="cs"/>
          <w:u w:val="single"/>
          <w:rtl/>
        </w:rPr>
        <w:t>מי האיש</w:t>
      </w:r>
    </w:p>
    <w:p w14:paraId="1DEDF991" w14:textId="77BDC275" w:rsidR="00A9457E" w:rsidRDefault="00A9457E" w:rsidP="00A9457E">
      <w:r>
        <w:rPr>
          <w:rFonts w:cs="Arial"/>
          <w:rtl/>
        </w:rPr>
        <w:t xml:space="preserve">רבי חיים </w:t>
      </w:r>
      <w:proofErr w:type="spellStart"/>
      <w:r>
        <w:rPr>
          <w:rFonts w:cs="Arial"/>
          <w:rtl/>
        </w:rPr>
        <w:t>ויטאל</w:t>
      </w:r>
      <w:proofErr w:type="spellEnd"/>
      <w:r>
        <w:rPr>
          <w:rFonts w:hint="cs"/>
          <w:rtl/>
        </w:rPr>
        <w:t xml:space="preserve">: </w:t>
      </w:r>
      <w:r>
        <w:rPr>
          <w:rFonts w:cs="Arial"/>
          <w:rtl/>
        </w:rPr>
        <w:t xml:space="preserve">רבי חיים </w:t>
      </w:r>
      <w:proofErr w:type="spellStart"/>
      <w:r>
        <w:rPr>
          <w:rFonts w:cs="Arial"/>
          <w:rtl/>
        </w:rPr>
        <w:t>ויטאל</w:t>
      </w:r>
      <w:proofErr w:type="spellEnd"/>
      <w:r>
        <w:rPr>
          <w:rFonts w:cs="Arial"/>
          <w:rtl/>
        </w:rPr>
        <w:t xml:space="preserve"> (1542-1620) היה מגדולי חכמי צפת במאה ה-16, תלמידו המרכזי של האר"י, רבי יצחק לוריא. הוא נחשב לדמות מרכזית בהתפתחות תורת הקבלה ובמיוחד בהפצת </w:t>
      </w:r>
      <w:r>
        <w:rPr>
          <w:rFonts w:cs="Arial"/>
          <w:rtl/>
        </w:rPr>
        <w:lastRenderedPageBreak/>
        <w:t>תורת האר"י, שאותה העלה על הכתב בחיבוריו. לצד עיסוקו בקבלה, כתב גם ספרי מוסר ועבודת הנפש, ובהם "שערי קדושה", העוסק בתיקון המידות, קדושה ועבודת האדם על עצמו.</w:t>
      </w:r>
    </w:p>
    <w:sectPr w:rsidR="00A9457E" w:rsidSect="00826676">
      <w:headerReference w:type="default" r:id="rIdLH"/>
      <w:pgSz w:w="11906" w:h="16838"/>
      <w:pgMar w:top="2211" w:right="1247" w:bottom="1474" w:left="1247" w:header="720" w:footer="720"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LH.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7D149" w14:textId="77777777" w:rsidR="00532ECB" w:rsidRDefault="00532ECB">
    <w:r>
      <w:pict w14:anchorId="771559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left:0;text-align:left;margin-left:0;margin-top:0;width:600.2pt;height:849pt;z-index:-251658240;mso-position-horizontal:center;mso-position-horizontal-relative:margin;mso-position-vertical:center;mso-position-vertical-relative:margin">
          <v:imagedata r:id="rId1" o:title="image1"/>
          <w10:wrap anchorx="margin" anchory="margin"/>
        </v:shape>
      </w:pict>
    </w:r>
  </w:p>
  <w:p w14:paraId="0D0FF2B8" w14:textId="77777777" w:rsidR="00532ECB" w:rsidRDefault="00532ECB">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A13900"/>
    <w:multiLevelType w:val="hybridMultilevel"/>
    <w:tmpl w:val="C8F6F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8167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F7A"/>
    <w:rsid w:val="000F62B6"/>
    <w:rsid w:val="005C637A"/>
    <w:rsid w:val="00652242"/>
    <w:rsid w:val="006C10CA"/>
    <w:rsid w:val="00792613"/>
    <w:rsid w:val="00826676"/>
    <w:rsid w:val="00A24F7A"/>
    <w:rsid w:val="00A9457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144CB"/>
  <w15:chartTrackingRefBased/>
  <w15:docId w15:val="{F576E066-7C2B-4ADB-BDAE-525AE2764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A24F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24F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24F7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24F7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24F7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24F7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24F7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24F7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24F7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A24F7A"/>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A24F7A"/>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A24F7A"/>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A24F7A"/>
    <w:rPr>
      <w:rFonts w:eastAsiaTheme="majorEastAsia" w:cstheme="majorBidi"/>
      <w:i/>
      <w:iCs/>
      <w:color w:val="2F5496" w:themeColor="accent1" w:themeShade="BF"/>
    </w:rPr>
  </w:style>
  <w:style w:type="character" w:customStyle="1" w:styleId="50">
    <w:name w:val="כותרת 5 תו"/>
    <w:basedOn w:val="a0"/>
    <w:link w:val="5"/>
    <w:uiPriority w:val="9"/>
    <w:semiHidden/>
    <w:rsid w:val="00A24F7A"/>
    <w:rPr>
      <w:rFonts w:eastAsiaTheme="majorEastAsia" w:cstheme="majorBidi"/>
      <w:color w:val="2F5496" w:themeColor="accent1" w:themeShade="BF"/>
    </w:rPr>
  </w:style>
  <w:style w:type="character" w:customStyle="1" w:styleId="60">
    <w:name w:val="כותרת 6 תו"/>
    <w:basedOn w:val="a0"/>
    <w:link w:val="6"/>
    <w:uiPriority w:val="9"/>
    <w:semiHidden/>
    <w:rsid w:val="00A24F7A"/>
    <w:rPr>
      <w:rFonts w:eastAsiaTheme="majorEastAsia" w:cstheme="majorBidi"/>
      <w:i/>
      <w:iCs/>
      <w:color w:val="595959" w:themeColor="text1" w:themeTint="A6"/>
    </w:rPr>
  </w:style>
  <w:style w:type="character" w:customStyle="1" w:styleId="70">
    <w:name w:val="כותרת 7 תו"/>
    <w:basedOn w:val="a0"/>
    <w:link w:val="7"/>
    <w:uiPriority w:val="9"/>
    <w:semiHidden/>
    <w:rsid w:val="00A24F7A"/>
    <w:rPr>
      <w:rFonts w:eastAsiaTheme="majorEastAsia" w:cstheme="majorBidi"/>
      <w:color w:val="595959" w:themeColor="text1" w:themeTint="A6"/>
    </w:rPr>
  </w:style>
  <w:style w:type="character" w:customStyle="1" w:styleId="80">
    <w:name w:val="כותרת 8 תו"/>
    <w:basedOn w:val="a0"/>
    <w:link w:val="8"/>
    <w:uiPriority w:val="9"/>
    <w:semiHidden/>
    <w:rsid w:val="00A24F7A"/>
    <w:rPr>
      <w:rFonts w:eastAsiaTheme="majorEastAsia" w:cstheme="majorBidi"/>
      <w:i/>
      <w:iCs/>
      <w:color w:val="272727" w:themeColor="text1" w:themeTint="D8"/>
    </w:rPr>
  </w:style>
  <w:style w:type="character" w:customStyle="1" w:styleId="90">
    <w:name w:val="כותרת 9 תו"/>
    <w:basedOn w:val="a0"/>
    <w:link w:val="9"/>
    <w:uiPriority w:val="9"/>
    <w:semiHidden/>
    <w:rsid w:val="00A24F7A"/>
    <w:rPr>
      <w:rFonts w:eastAsiaTheme="majorEastAsia" w:cstheme="majorBidi"/>
      <w:color w:val="272727" w:themeColor="text1" w:themeTint="D8"/>
    </w:rPr>
  </w:style>
  <w:style w:type="paragraph" w:styleId="a3">
    <w:name w:val="Title"/>
    <w:basedOn w:val="a"/>
    <w:next w:val="a"/>
    <w:link w:val="a4"/>
    <w:uiPriority w:val="10"/>
    <w:qFormat/>
    <w:rsid w:val="00A24F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A24F7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24F7A"/>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A24F7A"/>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24F7A"/>
    <w:pPr>
      <w:spacing w:before="160"/>
      <w:jc w:val="center"/>
    </w:pPr>
    <w:rPr>
      <w:i/>
      <w:iCs/>
      <w:color w:val="404040" w:themeColor="text1" w:themeTint="BF"/>
    </w:rPr>
  </w:style>
  <w:style w:type="character" w:customStyle="1" w:styleId="a8">
    <w:name w:val="ציטוט תו"/>
    <w:basedOn w:val="a0"/>
    <w:link w:val="a7"/>
    <w:uiPriority w:val="29"/>
    <w:rsid w:val="00A24F7A"/>
    <w:rPr>
      <w:i/>
      <w:iCs/>
      <w:color w:val="404040" w:themeColor="text1" w:themeTint="BF"/>
    </w:rPr>
  </w:style>
  <w:style w:type="paragraph" w:styleId="a9">
    <w:name w:val="List Paragraph"/>
    <w:basedOn w:val="a"/>
    <w:uiPriority w:val="34"/>
    <w:qFormat/>
    <w:rsid w:val="00A24F7A"/>
    <w:pPr>
      <w:ind w:left="720"/>
      <w:contextualSpacing/>
    </w:pPr>
  </w:style>
  <w:style w:type="character" w:styleId="aa">
    <w:name w:val="Intense Emphasis"/>
    <w:basedOn w:val="a0"/>
    <w:uiPriority w:val="21"/>
    <w:qFormat/>
    <w:rsid w:val="00A24F7A"/>
    <w:rPr>
      <w:i/>
      <w:iCs/>
      <w:color w:val="2F5496" w:themeColor="accent1" w:themeShade="BF"/>
    </w:rPr>
  </w:style>
  <w:style w:type="paragraph" w:styleId="ab">
    <w:name w:val="Intense Quote"/>
    <w:basedOn w:val="a"/>
    <w:next w:val="a"/>
    <w:link w:val="ac"/>
    <w:uiPriority w:val="30"/>
    <w:qFormat/>
    <w:rsid w:val="00A24F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A24F7A"/>
    <w:rPr>
      <w:i/>
      <w:iCs/>
      <w:color w:val="2F5496" w:themeColor="accent1" w:themeShade="BF"/>
    </w:rPr>
  </w:style>
  <w:style w:type="character" w:styleId="ad">
    <w:name w:val="Intense Reference"/>
    <w:basedOn w:val="a0"/>
    <w:uiPriority w:val="32"/>
    <w:qFormat/>
    <w:rsid w:val="00A24F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LH" Type="http://schemas.openxmlformats.org/officeDocument/2006/relationships/header" Target="headerLH.xml"/></Relationships>
</file>

<file path=word/_rels/headerLH.xml.rels><?xml version="1.0" encoding="UTF-8" standalone="yes"?>
<Relationships xmlns="http://schemas.openxmlformats.org/package/2006/relationships"><Relationship Id="rId1" Type="http://schemas.openxmlformats.org/officeDocument/2006/relationships/image" Target="media/lh_image.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449</Words>
  <Characters>2247</Characters>
  <Application>Microsoft Office Word</Application>
  <DocSecurity>0</DocSecurity>
  <Lines>18</Lines>
  <Paragraphs>5</Paragraphs>
  <ScaleCrop>false</ScaleCrop>
  <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מעיין הודיה משען</dc:creator>
  <cp:keywords/>
  <dc:description/>
  <cp:lastModifiedBy>מעיין משען</cp:lastModifiedBy>
  <cp:revision>2</cp:revision>
  <dcterms:created xsi:type="dcterms:W3CDTF">2026-10-08T11:05:00Z</dcterms:created>
  <dcterms:modified xsi:type="dcterms:W3CDTF">2026-10-08T11:12:00Z</dcterms:modified>
</cp:coreProperties>
</file>