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LH.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F04BEF" w14:textId="0E54561A" w:rsidR="00D10E81" w:rsidRPr="00D10E81" w:rsidRDefault="00D10E81" w:rsidP="00D10E81">
      <w:pPr>
        <w:jc w:val="center"/>
        <w:rPr>
          <w:u w:val="single"/>
          <w:rtl/>
        </w:rPr>
      </w:pPr>
      <w:r w:rsidRPr="00D10E81">
        <w:rPr>
          <w:rFonts w:cs="Arial"/>
          <w:u w:val="single"/>
          <w:rtl/>
        </w:rPr>
        <w:t>דף מלווה: שנאה מקלקלת את השורה</w:t>
      </w:r>
      <w:r w:rsidRPr="00D10E81">
        <w:rPr>
          <w:rFonts w:hint="cs"/>
          <w:u w:val="single"/>
          <w:rtl/>
        </w:rPr>
        <w:t xml:space="preserve"> - </w:t>
      </w:r>
      <w:r w:rsidRPr="00D10E81">
        <w:rPr>
          <w:rFonts w:cs="Arial"/>
          <w:u w:val="single"/>
          <w:rtl/>
        </w:rPr>
        <w:t>בין אחדות לאחידות ובין שנאה לאהבה</w:t>
      </w:r>
    </w:p>
    <w:p w14:paraId="5DE2B44A" w14:textId="13045E5A" w:rsidR="00D10E81" w:rsidRPr="00D10E81" w:rsidRDefault="00D10E81" w:rsidP="00D10E81">
      <w:pPr>
        <w:rPr>
          <w:u w:val="single"/>
          <w:rtl/>
        </w:rPr>
      </w:pPr>
      <w:r w:rsidRPr="00D10E81">
        <w:rPr>
          <w:rFonts w:cs="Arial"/>
          <w:u w:val="single"/>
          <w:rtl/>
        </w:rPr>
        <w:t>על רגל אחת</w:t>
      </w:r>
    </w:p>
    <w:p w14:paraId="5D2B740A" w14:textId="61B02337" w:rsidR="00D10E81" w:rsidRDefault="00D10E81" w:rsidP="00D10E81">
      <w:pPr>
        <w:rPr>
          <w:rtl/>
        </w:rPr>
      </w:pPr>
      <w:r>
        <w:rPr>
          <w:rFonts w:cs="Arial"/>
          <w:rtl/>
        </w:rPr>
        <w:t xml:space="preserve">היחידה עוסקת בכוחם של אהבה ושנאה לעצב את התנהגות האדם ואת החברה כולה. המקורות </w:t>
      </w:r>
      <w:r>
        <w:rPr>
          <w:rFonts w:cs="Arial" w:hint="cs"/>
          <w:rtl/>
        </w:rPr>
        <w:t>עוסקים</w:t>
      </w:r>
      <w:r>
        <w:rPr>
          <w:rFonts w:cs="Arial"/>
          <w:rtl/>
        </w:rPr>
        <w:t xml:space="preserve"> </w:t>
      </w:r>
      <w:r>
        <w:rPr>
          <w:rFonts w:cs="Arial" w:hint="cs"/>
          <w:rtl/>
        </w:rPr>
        <w:t>ב</w:t>
      </w:r>
      <w:r>
        <w:rPr>
          <w:rFonts w:cs="Arial"/>
          <w:rtl/>
        </w:rPr>
        <w:t xml:space="preserve">שנאת </w:t>
      </w:r>
      <w:proofErr w:type="spellStart"/>
      <w:r>
        <w:rPr>
          <w:rFonts w:cs="Arial" w:hint="cs"/>
          <w:rtl/>
        </w:rPr>
        <w:t>ה</w:t>
      </w:r>
      <w:r>
        <w:rPr>
          <w:rFonts w:cs="Arial"/>
          <w:rtl/>
        </w:rPr>
        <w:t>חינם</w:t>
      </w:r>
      <w:proofErr w:type="spellEnd"/>
      <w:r>
        <w:rPr>
          <w:rFonts w:cs="Arial"/>
          <w:rtl/>
        </w:rPr>
        <w:t xml:space="preserve"> </w:t>
      </w:r>
      <w:r>
        <w:rPr>
          <w:rFonts w:cs="Arial" w:hint="cs"/>
          <w:rtl/>
        </w:rPr>
        <w:t xml:space="preserve">שגרמה </w:t>
      </w:r>
      <w:r>
        <w:rPr>
          <w:rFonts w:cs="Arial"/>
          <w:rtl/>
        </w:rPr>
        <w:t xml:space="preserve">לחורבן בית שני, ומלמדים ששנאה עלולה להתקיים גם מתחת לפני השטח, כשהיא מוסתרת מאחורי יחסי קרבה לכאורה. לצד זאת, </w:t>
      </w:r>
      <w:r>
        <w:rPr>
          <w:rFonts w:cs="Arial" w:hint="cs"/>
          <w:rtl/>
        </w:rPr>
        <w:t>המקורות</w:t>
      </w:r>
      <w:r>
        <w:rPr>
          <w:rFonts w:cs="Arial"/>
          <w:rtl/>
        </w:rPr>
        <w:t xml:space="preserve"> מציגים אפשרות אחרת: מחלוקת עמוקה שאינה הופכת לשנאה אישית. היחידה מבקשת לברר כיצד אפשר לשמור על קשר, כבוד ואהבה גם כשאנחנו חלוקים בדעותינו, ולהבין שאחדות אמיתית אינה מחייבת אחידות.</w:t>
      </w:r>
    </w:p>
    <w:p w14:paraId="670F98D2" w14:textId="72BF9411" w:rsidR="00D10E81" w:rsidRDefault="00D10E81" w:rsidP="00D10E81">
      <w:pPr>
        <w:pStyle w:val="a9"/>
        <w:numPr>
          <w:ilvl w:val="0"/>
          <w:numId w:val="1"/>
        </w:numPr>
        <w:rPr>
          <w:rtl/>
        </w:rPr>
      </w:pPr>
      <w:r w:rsidRPr="00D10E81">
        <w:rPr>
          <w:rFonts w:cs="Arial" w:hint="cs"/>
          <w:rtl/>
        </w:rPr>
        <w:t xml:space="preserve">דגש לחונך: </w:t>
      </w:r>
      <w:r w:rsidRPr="00D10E81">
        <w:rPr>
          <w:rFonts w:cs="Arial"/>
          <w:rtl/>
        </w:rPr>
        <w:t>מטרת היחידה אינה לטשטש הבדלים או לדרוש הסכמה בכל מחיר, אלא לפתח את היכולת להפריד בין האדם לבין עמדותיו. היא מבקשת לברר כיצד אפשר להתווכח בכנות, לעמוד על עקרונות ולשמור על זהות אישית, ובו בזמן להכיר בערכו של מי שחושב אחרת. כך ניתן לבנות אחדות שאינה מבוססת על דמיון בין אנשים, אלא על נכונות לחיות יחד למרות השוני.</w:t>
      </w:r>
    </w:p>
    <w:p w14:paraId="654C5FF8" w14:textId="70C918C6" w:rsidR="00D10E81" w:rsidRPr="00D10E81" w:rsidRDefault="00D10E81" w:rsidP="00D10E81">
      <w:pPr>
        <w:rPr>
          <w:u w:val="single"/>
          <w:rtl/>
        </w:rPr>
      </w:pPr>
      <w:proofErr w:type="spellStart"/>
      <w:r w:rsidRPr="00D10E81">
        <w:rPr>
          <w:rFonts w:cs="Arial"/>
          <w:u w:val="single"/>
          <w:rtl/>
        </w:rPr>
        <w:t>רציונאל</w:t>
      </w:r>
      <w:proofErr w:type="spellEnd"/>
    </w:p>
    <w:p w14:paraId="392583B5" w14:textId="0AC74763" w:rsidR="00D10E81" w:rsidRDefault="00D10E81" w:rsidP="00D10E81">
      <w:pPr>
        <w:rPr>
          <w:rtl/>
        </w:rPr>
      </w:pPr>
      <w:r>
        <w:rPr>
          <w:rFonts w:cs="Arial"/>
          <w:rtl/>
        </w:rPr>
        <w:t>היחידה עוסקת באחד האתגרים הגדולים בחיים המשותפים: היכולת לחיות לצד אנשים שחושבים אחרת מאיתנו, בלי להפוך את ההבדלים בינינו למקור של ריחוק ושנאה.</w:t>
      </w:r>
      <w:r>
        <w:rPr>
          <w:rFonts w:hint="cs"/>
          <w:rtl/>
        </w:rPr>
        <w:t xml:space="preserve"> </w:t>
      </w:r>
      <w:r>
        <w:rPr>
          <w:rFonts w:cs="Arial"/>
          <w:rtl/>
        </w:rPr>
        <w:t xml:space="preserve">הגמרא במסכת יומא קושרת בין חורבן בית שני לשנאת חינם, ומדגישה את ההבדל בין שנאה גלויה לשנאה נסתרת. פירוש </w:t>
      </w:r>
      <w:proofErr w:type="spellStart"/>
      <w:r>
        <w:rPr>
          <w:rFonts w:cs="Arial"/>
          <w:rtl/>
        </w:rPr>
        <w:t>המהרש"א</w:t>
      </w:r>
      <w:proofErr w:type="spellEnd"/>
      <w:r>
        <w:rPr>
          <w:rFonts w:cs="Arial"/>
          <w:rtl/>
        </w:rPr>
        <w:t xml:space="preserve"> מחדד את הסכנה שבמצב שבו אנשים מפגינים אהבה כלפי חוץ, אך בל</w:t>
      </w:r>
      <w:r>
        <w:rPr>
          <w:rFonts w:cs="Arial" w:hint="cs"/>
          <w:rtl/>
        </w:rPr>
        <w:t>י</w:t>
      </w:r>
      <w:r>
        <w:rPr>
          <w:rFonts w:cs="Arial"/>
          <w:rtl/>
        </w:rPr>
        <w:t>בם שומרים טינה ושנאה. מכאן עולה הצורך להתמודד לא רק עם עימותים גלויים, אלא גם עם הריחוק והעוינות שמסתתרים מאחורי חזות של אחדות.</w:t>
      </w:r>
      <w:r>
        <w:rPr>
          <w:rFonts w:hint="cs"/>
          <w:rtl/>
        </w:rPr>
        <w:t xml:space="preserve"> </w:t>
      </w:r>
      <w:r>
        <w:rPr>
          <w:rFonts w:cs="Arial"/>
          <w:rtl/>
        </w:rPr>
        <w:t xml:space="preserve">מדרש בראשית רבה מלמד שאהבה ושנאה הן כוחות חזקים המסוגלים לשנות את התנהגות האדם ולגרום לו לחרוג מהתנהלותו הרגילה. הרב </w:t>
      </w:r>
      <w:proofErr w:type="spellStart"/>
      <w:r>
        <w:rPr>
          <w:rFonts w:cs="Arial"/>
          <w:rtl/>
        </w:rPr>
        <w:t>סולוביצ'יק</w:t>
      </w:r>
      <w:proofErr w:type="spellEnd"/>
      <w:r>
        <w:rPr>
          <w:rFonts w:cs="Arial"/>
          <w:rtl/>
        </w:rPr>
        <w:t xml:space="preserve"> </w:t>
      </w:r>
      <w:r>
        <w:rPr>
          <w:rFonts w:cs="Arial" w:hint="cs"/>
          <w:rtl/>
        </w:rPr>
        <w:t>מבאר</w:t>
      </w:r>
      <w:r>
        <w:rPr>
          <w:rFonts w:cs="Arial"/>
          <w:rtl/>
        </w:rPr>
        <w:t xml:space="preserve"> שהשנאה עלולה להיות כוח סוחף ותוקפני במיוחד, בעוד שהאהבה אינה תמיד מתורגמת לפעולה באותה עוצמה. תובנה זו מזמינה אותנו להבין מדוע קל לעיתים להגיב מתוך כעס ועוינות, אך קשה יותר להשקיע מאמץ פעיל בבניית קשר ובשמירה עליו.</w:t>
      </w:r>
      <w:r>
        <w:rPr>
          <w:rFonts w:hint="cs"/>
          <w:rtl/>
        </w:rPr>
        <w:t xml:space="preserve"> </w:t>
      </w:r>
      <w:r>
        <w:rPr>
          <w:rFonts w:cs="Arial"/>
          <w:rtl/>
        </w:rPr>
        <w:t xml:space="preserve">מנגד, המקורות על בית שמאי ובית הלל מציגים דוגמה למחלוקת שאינה מבטלת את הקשר האנושי. למרות הפערים ההלכתיים ביניהם, הם המשיכו לקיים קשרי נישואין. רבי יונתן </w:t>
      </w:r>
      <w:proofErr w:type="spellStart"/>
      <w:r>
        <w:rPr>
          <w:rFonts w:cs="Arial"/>
          <w:rtl/>
        </w:rPr>
        <w:t>אייבשיץ</w:t>
      </w:r>
      <w:proofErr w:type="spellEnd"/>
      <w:r>
        <w:rPr>
          <w:rFonts w:cs="Arial"/>
          <w:rtl/>
        </w:rPr>
        <w:t xml:space="preserve"> מסביר שהמבחן למחלוקת לשם שמיים הוא היכולת לאהוב את האדם שמולנו גם כשאנחנו חולקים עליו. דברי הרב קוק בסיום מציעים כיוון לתיקון: אם שנאת חינם הביאה לחורבן, אהבת חינם יכולה להיות הבסיס לבנייה מחודשת.</w:t>
      </w:r>
    </w:p>
    <w:p w14:paraId="34F22715" w14:textId="77777777" w:rsidR="00D10E81" w:rsidRDefault="00D10E81" w:rsidP="00D10E81">
      <w:pPr>
        <w:rPr>
          <w:rtl/>
        </w:rPr>
      </w:pPr>
    </w:p>
    <w:p w14:paraId="3EBD3168" w14:textId="616C82C9" w:rsidR="00D10E81" w:rsidRPr="00D10E81" w:rsidRDefault="00D10E81" w:rsidP="00D10E81">
      <w:pPr>
        <w:rPr>
          <w:u w:val="single"/>
          <w:rtl/>
        </w:rPr>
      </w:pPr>
      <w:r w:rsidRPr="00D10E81">
        <w:rPr>
          <w:rFonts w:cs="Arial"/>
          <w:u w:val="single"/>
          <w:rtl/>
        </w:rPr>
        <w:t>תובנות מרכזיות</w:t>
      </w:r>
    </w:p>
    <w:p w14:paraId="2DAB1A6A" w14:textId="1AE250FB" w:rsidR="00D10E81" w:rsidRDefault="00D10E81" w:rsidP="00D10E81">
      <w:pPr>
        <w:pStyle w:val="a9"/>
        <w:numPr>
          <w:ilvl w:val="0"/>
          <w:numId w:val="1"/>
        </w:numPr>
        <w:rPr>
          <w:rtl/>
        </w:rPr>
      </w:pPr>
      <w:r w:rsidRPr="00D10E81">
        <w:rPr>
          <w:rFonts w:cs="Arial"/>
          <w:rtl/>
        </w:rPr>
        <w:t xml:space="preserve">הגמרא במסכת יומא מלמדת ששנאת חינם הייתה גורם מרכזי בחורבן בית שני, אף שבאותה תקופה התקיימו תורה, מצוות וגמילות חסדים. פירוש </w:t>
      </w:r>
      <w:proofErr w:type="spellStart"/>
      <w:r w:rsidRPr="00D10E81">
        <w:rPr>
          <w:rFonts w:cs="Arial"/>
          <w:rtl/>
        </w:rPr>
        <w:t>המהרש"א</w:t>
      </w:r>
      <w:proofErr w:type="spellEnd"/>
      <w:r w:rsidRPr="00D10E81">
        <w:rPr>
          <w:rFonts w:cs="Arial"/>
          <w:rtl/>
        </w:rPr>
        <w:t xml:space="preserve"> מדגיש את הסכנה שבשנאה נסתרת, כאשר כלפי חוץ אנשים נראים כאוהבים אך </w:t>
      </w:r>
      <w:proofErr w:type="spellStart"/>
      <w:r w:rsidRPr="00D10E81">
        <w:rPr>
          <w:rFonts w:cs="Arial"/>
          <w:rtl/>
        </w:rPr>
        <w:t>בלבם</w:t>
      </w:r>
      <w:proofErr w:type="spellEnd"/>
      <w:r w:rsidRPr="00D10E81">
        <w:rPr>
          <w:rFonts w:cs="Arial"/>
          <w:rtl/>
        </w:rPr>
        <w:t xml:space="preserve"> מתקיימת עוינות. מכאן עולה שלא די לשמור על מראית עין של אחדות. תיקון אמיתי דורש להכיר ברגשות השליליים ולפעול לשינוי היחס לאחר.</w:t>
      </w:r>
    </w:p>
    <w:p w14:paraId="4B3866CC" w14:textId="4BB6A489" w:rsidR="00D10E81" w:rsidRDefault="00D10E81" w:rsidP="00D10E81">
      <w:pPr>
        <w:pStyle w:val="a9"/>
        <w:numPr>
          <w:ilvl w:val="0"/>
          <w:numId w:val="1"/>
        </w:numPr>
        <w:rPr>
          <w:rtl/>
        </w:rPr>
      </w:pPr>
      <w:r w:rsidRPr="00D10E81">
        <w:rPr>
          <w:rFonts w:cs="Arial"/>
          <w:rtl/>
        </w:rPr>
        <w:t xml:space="preserve">מדרש בראשית רבה מתאר את האהבה והשנאה ככוחות שמשנים את התנהגות האדם. אברהם יוצא לדרך </w:t>
      </w:r>
      <w:r>
        <w:rPr>
          <w:rFonts w:cs="Arial" w:hint="cs"/>
          <w:rtl/>
        </w:rPr>
        <w:t xml:space="preserve">ללא עזרת משרתו </w:t>
      </w:r>
      <w:r w:rsidRPr="00D10E81">
        <w:rPr>
          <w:rFonts w:cs="Arial"/>
          <w:rtl/>
        </w:rPr>
        <w:t>כדי לקיים את ציווי ה', ואילו בלעם משכים לחבוש את אתונו מתוך שנאתו לישראל. המדרש מלמד שרגש עמוק אינו נשאר רק בלב, אלא עשוי להניע את האדם לפעולות חריגות. הוא מזמין אותנו לבחון כיצד הרגשות שמנהלים אותנו משפיעים על הבחירות שלנו ועל היחס שלנו לסובבים אותנו.</w:t>
      </w:r>
    </w:p>
    <w:p w14:paraId="3A1E5D8D" w14:textId="59B12FA7" w:rsidR="00D10E81" w:rsidRDefault="00D10E81" w:rsidP="00D10E81">
      <w:pPr>
        <w:pStyle w:val="a9"/>
        <w:numPr>
          <w:ilvl w:val="0"/>
          <w:numId w:val="1"/>
        </w:numPr>
        <w:rPr>
          <w:rtl/>
        </w:rPr>
      </w:pPr>
      <w:r w:rsidRPr="00D10E81">
        <w:rPr>
          <w:rFonts w:cs="Arial"/>
          <w:rtl/>
        </w:rPr>
        <w:t xml:space="preserve">הרב </w:t>
      </w:r>
      <w:proofErr w:type="spellStart"/>
      <w:r w:rsidRPr="00D10E81">
        <w:rPr>
          <w:rFonts w:cs="Arial"/>
          <w:rtl/>
        </w:rPr>
        <w:t>סולוביצ'יק</w:t>
      </w:r>
      <w:proofErr w:type="spellEnd"/>
      <w:r w:rsidRPr="00D10E81">
        <w:rPr>
          <w:rFonts w:cs="Arial"/>
          <w:rtl/>
        </w:rPr>
        <w:t xml:space="preserve"> מצביע על כך שכוחות הרסניים, ובהם שנאה וקנאה, עלולים להיות תוקפניים וסוחפים יותר מכוחות בונים כמו אהבה וחיבה. השנאה יכולה להניע אדם לפעול בנחישות כדי לפגוע במי שהוא שונא, בעוד שהאהבה עלולה להישאר רגש שאינו מתורגם למעשה. לכן, בניית חברה אוהבת דורשת מאמץ פעיל: לא די להרגיש אהבה, אלא צריך להפוך אותה להתנהגות, ליוזמה ולעזרה ממשית.</w:t>
      </w:r>
    </w:p>
    <w:p w14:paraId="707173C2" w14:textId="38D30379" w:rsidR="00D10E81" w:rsidRDefault="00D10E81" w:rsidP="00D10E81">
      <w:pPr>
        <w:pStyle w:val="a9"/>
        <w:numPr>
          <w:ilvl w:val="0"/>
          <w:numId w:val="1"/>
        </w:numPr>
        <w:rPr>
          <w:rtl/>
        </w:rPr>
      </w:pPr>
      <w:r w:rsidRPr="00D10E81">
        <w:rPr>
          <w:rFonts w:cs="Arial"/>
          <w:rtl/>
        </w:rPr>
        <w:t xml:space="preserve">הגמרא במסכת יבמות מציגה את בית שמאי ובית הלל כדוגמה לאפשרות לקיים מחלוקת הלכתית עמוקה בלי לנתק את הקשרים בין הצדדים. רבי יונתן </w:t>
      </w:r>
      <w:proofErr w:type="spellStart"/>
      <w:r w:rsidRPr="00D10E81">
        <w:rPr>
          <w:rFonts w:cs="Arial"/>
          <w:rtl/>
        </w:rPr>
        <w:t>אייבשיץ</w:t>
      </w:r>
      <w:proofErr w:type="spellEnd"/>
      <w:r w:rsidRPr="00D10E81">
        <w:rPr>
          <w:rFonts w:cs="Arial"/>
          <w:rtl/>
        </w:rPr>
        <w:t xml:space="preserve"> מסביר שהמבחן </w:t>
      </w:r>
      <w:r w:rsidRPr="00D10E81">
        <w:rPr>
          <w:rFonts w:cs="Arial"/>
          <w:rtl/>
        </w:rPr>
        <w:lastRenderedPageBreak/>
        <w:t>למחלוקת לשם שמיים הוא היכולת להפריד בין המחלוקת עצמה לבין היחס לאדם שמולנו. אפשר להאמין באמת בעמדה מסוימת, בלי להפוך את המחלוקת לשנאה אישית.</w:t>
      </w:r>
    </w:p>
    <w:p w14:paraId="054AD805" w14:textId="324376A8" w:rsidR="00D10E81" w:rsidRDefault="00D10E81" w:rsidP="00D10E81">
      <w:pPr>
        <w:pStyle w:val="a9"/>
        <w:numPr>
          <w:ilvl w:val="0"/>
          <w:numId w:val="1"/>
        </w:numPr>
        <w:rPr>
          <w:rtl/>
        </w:rPr>
      </w:pPr>
      <w:r w:rsidRPr="00D10E81">
        <w:rPr>
          <w:rFonts w:cs="Arial"/>
          <w:rtl/>
        </w:rPr>
        <w:t xml:space="preserve">הרב קוק </w:t>
      </w:r>
      <w:r>
        <w:rPr>
          <w:rFonts w:cs="Arial" w:hint="cs"/>
          <w:rtl/>
        </w:rPr>
        <w:t>כותב</w:t>
      </w:r>
      <w:r w:rsidRPr="00D10E81">
        <w:rPr>
          <w:rFonts w:cs="Arial"/>
          <w:rtl/>
        </w:rPr>
        <w:t xml:space="preserve"> </w:t>
      </w:r>
      <w:r>
        <w:rPr>
          <w:rFonts w:cs="Arial" w:hint="cs"/>
          <w:rtl/>
        </w:rPr>
        <w:t>כי</w:t>
      </w:r>
      <w:r w:rsidRPr="00D10E81">
        <w:rPr>
          <w:rFonts w:cs="Arial"/>
          <w:rtl/>
        </w:rPr>
        <w:t xml:space="preserve"> אהבת </w:t>
      </w:r>
      <w:proofErr w:type="spellStart"/>
      <w:r w:rsidRPr="00D10E81">
        <w:rPr>
          <w:rFonts w:cs="Arial"/>
          <w:rtl/>
        </w:rPr>
        <w:t>החינם</w:t>
      </w:r>
      <w:proofErr w:type="spellEnd"/>
      <w:r w:rsidRPr="00D10E81">
        <w:rPr>
          <w:rFonts w:cs="Arial"/>
          <w:rtl/>
        </w:rPr>
        <w:t xml:space="preserve"> </w:t>
      </w:r>
      <w:r>
        <w:rPr>
          <w:rFonts w:cs="Arial" w:hint="cs"/>
          <w:rtl/>
        </w:rPr>
        <w:t>היא ה</w:t>
      </w:r>
      <w:r w:rsidRPr="00D10E81">
        <w:rPr>
          <w:rFonts w:cs="Arial"/>
          <w:rtl/>
        </w:rPr>
        <w:t>דרך לתיקון השנאה שהובילה לחורבן. אהבה כזאת אינה תלויה בהיכרות אישית, בתועלת או בהסכמה, אלא בהכרה בערכו של הזולת. היא דורשת מאיתנו לא רק להימנע משנאה, אלא ליזום מעשים של קרבה, כבוד ועזרה. בניית אחדות אמיתית מתחילה כאשר אנחנו מפסיקים לראות בשוני איום ומתחילים לראות באדם שמולנו חלק מהחברה שאנחנו מבקשים לבנות.</w:t>
      </w:r>
    </w:p>
    <w:p w14:paraId="6B79CF02" w14:textId="59B77F93" w:rsidR="00D10E81" w:rsidRPr="00D10E81" w:rsidRDefault="00D10E81" w:rsidP="00D10E81">
      <w:pPr>
        <w:rPr>
          <w:u w:val="single"/>
          <w:rtl/>
        </w:rPr>
      </w:pPr>
      <w:r w:rsidRPr="00D10E81">
        <w:rPr>
          <w:rFonts w:cs="Arial"/>
          <w:u w:val="single"/>
          <w:rtl/>
        </w:rPr>
        <w:t>מי האיש</w:t>
      </w:r>
    </w:p>
    <w:p w14:paraId="4D41A540" w14:textId="178C7EAB" w:rsidR="00D10E81" w:rsidRDefault="00D10E81" w:rsidP="00D10E81">
      <w:pPr>
        <w:rPr>
          <w:rtl/>
        </w:rPr>
      </w:pPr>
      <w:proofErr w:type="spellStart"/>
      <w:r>
        <w:rPr>
          <w:rFonts w:cs="Arial"/>
          <w:rtl/>
        </w:rPr>
        <w:t>המהרש"א</w:t>
      </w:r>
      <w:proofErr w:type="spellEnd"/>
      <w:r>
        <w:rPr>
          <w:rFonts w:cs="Arial"/>
          <w:rtl/>
        </w:rPr>
        <w:t xml:space="preserve">, רבי שמואל אליעזר הלוי </w:t>
      </w:r>
      <w:proofErr w:type="spellStart"/>
      <w:r>
        <w:rPr>
          <w:rFonts w:cs="Arial"/>
          <w:rtl/>
        </w:rPr>
        <w:t>איידלס</w:t>
      </w:r>
      <w:proofErr w:type="spellEnd"/>
      <w:r>
        <w:rPr>
          <w:rFonts w:cs="Arial"/>
          <w:rtl/>
        </w:rPr>
        <w:t xml:space="preserve"> (1555-1631)</w:t>
      </w:r>
      <w:r>
        <w:rPr>
          <w:rFonts w:hint="cs"/>
          <w:rtl/>
        </w:rPr>
        <w:t xml:space="preserve">: </w:t>
      </w:r>
      <w:r>
        <w:rPr>
          <w:rFonts w:cs="Arial"/>
          <w:rtl/>
        </w:rPr>
        <w:t>מגדולי פרשני התלמוד במזרח אירופה. כיהן כרב וכראש ישיבה בערים שונות בפולין, ונודע בעיקר בזכות פירושיו לתלמוד הבבלי, המשלבים דיוק לשוני, עיון הלכתי והעמקה רעיונית. פירושו לדברי חז"ל מסייע להבין את הרעיונות והמסקנות העולים מסוגיות התלמוד.</w:t>
      </w:r>
    </w:p>
    <w:p w14:paraId="0BFCBA63" w14:textId="6370471C" w:rsidR="00D10E81" w:rsidRDefault="00D10E81" w:rsidP="00D10E81">
      <w:pPr>
        <w:rPr>
          <w:rtl/>
        </w:rPr>
      </w:pPr>
      <w:r>
        <w:rPr>
          <w:rFonts w:cs="Arial"/>
          <w:rtl/>
        </w:rPr>
        <w:t xml:space="preserve">הרב יוסף דב הלוי </w:t>
      </w:r>
      <w:proofErr w:type="spellStart"/>
      <w:r>
        <w:rPr>
          <w:rFonts w:cs="Arial"/>
          <w:rtl/>
        </w:rPr>
        <w:t>סולוביצ'יק</w:t>
      </w:r>
      <w:proofErr w:type="spellEnd"/>
      <w:r>
        <w:rPr>
          <w:rFonts w:cs="Arial"/>
          <w:rtl/>
        </w:rPr>
        <w:t xml:space="preserve"> (1903-1993)</w:t>
      </w:r>
      <w:r>
        <w:rPr>
          <w:rFonts w:hint="cs"/>
          <w:rtl/>
        </w:rPr>
        <w:t xml:space="preserve">: </w:t>
      </w:r>
      <w:r>
        <w:rPr>
          <w:rFonts w:cs="Arial"/>
          <w:rtl/>
        </w:rPr>
        <w:t xml:space="preserve">מגדולי ההוגים היהודיים במאה ה־20 וממנהיגי היהדות האורתודוקסית בארצות הברית. היה תלמיד חכם, פילוסוף ומנהיג רוחני, ושילב בכתביו בין מחשבת ישראל, פילוסופיה והתבוננות בנפש האדם. כתביו עוסקים באמונה, באחריות האישית, במאבקי האדם ובמשמעות החיים </w:t>
      </w:r>
      <w:r>
        <w:rPr>
          <w:rFonts w:cs="Arial" w:hint="cs"/>
          <w:rtl/>
        </w:rPr>
        <w:t>של האדם המאמין.</w:t>
      </w:r>
    </w:p>
    <w:p w14:paraId="7B70F557" w14:textId="509352D2" w:rsidR="000F62B6" w:rsidRDefault="00D10E81" w:rsidP="00D10E81">
      <w:r>
        <w:rPr>
          <w:rFonts w:cs="Arial"/>
          <w:rtl/>
        </w:rPr>
        <w:t xml:space="preserve">רבי יונתן </w:t>
      </w:r>
      <w:proofErr w:type="spellStart"/>
      <w:r>
        <w:rPr>
          <w:rFonts w:cs="Arial"/>
          <w:rtl/>
        </w:rPr>
        <w:t>אייבשיץ</w:t>
      </w:r>
      <w:proofErr w:type="spellEnd"/>
      <w:r>
        <w:rPr>
          <w:rFonts w:cs="Arial"/>
          <w:rtl/>
        </w:rPr>
        <w:t xml:space="preserve"> (1690-1764)</w:t>
      </w:r>
      <w:r>
        <w:rPr>
          <w:rFonts w:hint="cs"/>
          <w:rtl/>
        </w:rPr>
        <w:t xml:space="preserve">: </w:t>
      </w:r>
      <w:r>
        <w:rPr>
          <w:rFonts w:cs="Arial"/>
          <w:rtl/>
        </w:rPr>
        <w:t>רב, פוסק, דרשן ומגדולי חכמי אירופה במאה ה־18. כיהן כרב בערים מרכזיות ובהן פראג והמבורג, ונודע בכישרונו התורני ובדרשותיו. ספרו יערות דבש כולל דרשות ורעיונות מוסריים ורוחניים העוסקים בעבודת האדם, באמונה ובחיי הציבור.</w:t>
      </w:r>
    </w:p>
    <w:sectPr w:rsidR="000F62B6" w:rsidSect="00826676">
      <w:headerReference w:type="default" r:id="rIdLH"/>
      <w:pgSz w:w="11906" w:h="16838"/>
      <w:pgMar w:top="2211" w:right="1247" w:bottom="1474" w:left="1247" w:header="720" w:footer="720"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LH.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7D149" w14:textId="77777777" w:rsidR="00532ECB" w:rsidRDefault="00532ECB">
    <w:r>
      <w:pict w14:anchorId="771559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alt="" style="position:absolute;left:0;text-align:left;margin-left:0;margin-top:0;width:600.2pt;height:849pt;z-index:-251658240;mso-position-horizontal:center;mso-position-horizontal-relative:margin;mso-position-vertical:center;mso-position-vertical-relative:margin">
          <v:imagedata r:id="rId1" o:title="image1"/>
          <w10:wrap anchorx="margin" anchory="margin"/>
        </v:shape>
      </w:pict>
    </w:r>
  </w:p>
  <w:p w14:paraId="0D0FF2B8" w14:textId="77777777" w:rsidR="00532ECB" w:rsidRDefault="00532ECB">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1B197C"/>
    <w:multiLevelType w:val="hybridMultilevel"/>
    <w:tmpl w:val="ED684D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82519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69B9"/>
    <w:rsid w:val="000F62B6"/>
    <w:rsid w:val="00652242"/>
    <w:rsid w:val="006C10CA"/>
    <w:rsid w:val="00792613"/>
    <w:rsid w:val="008069B9"/>
    <w:rsid w:val="00826676"/>
    <w:rsid w:val="00990084"/>
    <w:rsid w:val="00D10E8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186F14"/>
  <w15:chartTrackingRefBased/>
  <w15:docId w15:val="{60F7FCC9-4C47-48BF-AC7F-FE3A7E81E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8069B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8069B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8069B9"/>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8069B9"/>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8069B9"/>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8069B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8069B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069B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8069B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8069B9"/>
    <w:rPr>
      <w:rFonts w:asciiTheme="majorHAnsi" w:eastAsiaTheme="majorEastAsia" w:hAnsiTheme="majorHAnsi" w:cstheme="majorBidi"/>
      <w:color w:val="2F5496" w:themeColor="accent1" w:themeShade="BF"/>
      <w:sz w:val="40"/>
      <w:szCs w:val="40"/>
    </w:rPr>
  </w:style>
  <w:style w:type="character" w:customStyle="1" w:styleId="20">
    <w:name w:val="כותרת 2 תו"/>
    <w:basedOn w:val="a0"/>
    <w:link w:val="2"/>
    <w:uiPriority w:val="9"/>
    <w:semiHidden/>
    <w:rsid w:val="008069B9"/>
    <w:rPr>
      <w:rFonts w:asciiTheme="majorHAnsi" w:eastAsiaTheme="majorEastAsia" w:hAnsiTheme="majorHAnsi" w:cstheme="majorBidi"/>
      <w:color w:val="2F5496" w:themeColor="accent1" w:themeShade="BF"/>
      <w:sz w:val="32"/>
      <w:szCs w:val="32"/>
    </w:rPr>
  </w:style>
  <w:style w:type="character" w:customStyle="1" w:styleId="30">
    <w:name w:val="כותרת 3 תו"/>
    <w:basedOn w:val="a0"/>
    <w:link w:val="3"/>
    <w:uiPriority w:val="9"/>
    <w:semiHidden/>
    <w:rsid w:val="008069B9"/>
    <w:rPr>
      <w:rFonts w:eastAsiaTheme="majorEastAsia" w:cstheme="majorBidi"/>
      <w:color w:val="2F5496" w:themeColor="accent1" w:themeShade="BF"/>
      <w:sz w:val="28"/>
      <w:szCs w:val="28"/>
    </w:rPr>
  </w:style>
  <w:style w:type="character" w:customStyle="1" w:styleId="40">
    <w:name w:val="כותרת 4 תו"/>
    <w:basedOn w:val="a0"/>
    <w:link w:val="4"/>
    <w:uiPriority w:val="9"/>
    <w:semiHidden/>
    <w:rsid w:val="008069B9"/>
    <w:rPr>
      <w:rFonts w:eastAsiaTheme="majorEastAsia" w:cstheme="majorBidi"/>
      <w:i/>
      <w:iCs/>
      <w:color w:val="2F5496" w:themeColor="accent1" w:themeShade="BF"/>
    </w:rPr>
  </w:style>
  <w:style w:type="character" w:customStyle="1" w:styleId="50">
    <w:name w:val="כותרת 5 תו"/>
    <w:basedOn w:val="a0"/>
    <w:link w:val="5"/>
    <w:uiPriority w:val="9"/>
    <w:semiHidden/>
    <w:rsid w:val="008069B9"/>
    <w:rPr>
      <w:rFonts w:eastAsiaTheme="majorEastAsia" w:cstheme="majorBidi"/>
      <w:color w:val="2F5496" w:themeColor="accent1" w:themeShade="BF"/>
    </w:rPr>
  </w:style>
  <w:style w:type="character" w:customStyle="1" w:styleId="60">
    <w:name w:val="כותרת 6 תו"/>
    <w:basedOn w:val="a0"/>
    <w:link w:val="6"/>
    <w:uiPriority w:val="9"/>
    <w:semiHidden/>
    <w:rsid w:val="008069B9"/>
    <w:rPr>
      <w:rFonts w:eastAsiaTheme="majorEastAsia" w:cstheme="majorBidi"/>
      <w:i/>
      <w:iCs/>
      <w:color w:val="595959" w:themeColor="text1" w:themeTint="A6"/>
    </w:rPr>
  </w:style>
  <w:style w:type="character" w:customStyle="1" w:styleId="70">
    <w:name w:val="כותרת 7 תו"/>
    <w:basedOn w:val="a0"/>
    <w:link w:val="7"/>
    <w:uiPriority w:val="9"/>
    <w:semiHidden/>
    <w:rsid w:val="008069B9"/>
    <w:rPr>
      <w:rFonts w:eastAsiaTheme="majorEastAsia" w:cstheme="majorBidi"/>
      <w:color w:val="595959" w:themeColor="text1" w:themeTint="A6"/>
    </w:rPr>
  </w:style>
  <w:style w:type="character" w:customStyle="1" w:styleId="80">
    <w:name w:val="כותרת 8 תו"/>
    <w:basedOn w:val="a0"/>
    <w:link w:val="8"/>
    <w:uiPriority w:val="9"/>
    <w:semiHidden/>
    <w:rsid w:val="008069B9"/>
    <w:rPr>
      <w:rFonts w:eastAsiaTheme="majorEastAsia" w:cstheme="majorBidi"/>
      <w:i/>
      <w:iCs/>
      <w:color w:val="272727" w:themeColor="text1" w:themeTint="D8"/>
    </w:rPr>
  </w:style>
  <w:style w:type="character" w:customStyle="1" w:styleId="90">
    <w:name w:val="כותרת 9 תו"/>
    <w:basedOn w:val="a0"/>
    <w:link w:val="9"/>
    <w:uiPriority w:val="9"/>
    <w:semiHidden/>
    <w:rsid w:val="008069B9"/>
    <w:rPr>
      <w:rFonts w:eastAsiaTheme="majorEastAsia" w:cstheme="majorBidi"/>
      <w:color w:val="272727" w:themeColor="text1" w:themeTint="D8"/>
    </w:rPr>
  </w:style>
  <w:style w:type="paragraph" w:styleId="a3">
    <w:name w:val="Title"/>
    <w:basedOn w:val="a"/>
    <w:next w:val="a"/>
    <w:link w:val="a4"/>
    <w:uiPriority w:val="10"/>
    <w:qFormat/>
    <w:rsid w:val="008069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8069B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069B9"/>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8069B9"/>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8069B9"/>
    <w:pPr>
      <w:spacing w:before="160"/>
      <w:jc w:val="center"/>
    </w:pPr>
    <w:rPr>
      <w:i/>
      <w:iCs/>
      <w:color w:val="404040" w:themeColor="text1" w:themeTint="BF"/>
    </w:rPr>
  </w:style>
  <w:style w:type="character" w:customStyle="1" w:styleId="a8">
    <w:name w:val="ציטוט תו"/>
    <w:basedOn w:val="a0"/>
    <w:link w:val="a7"/>
    <w:uiPriority w:val="29"/>
    <w:rsid w:val="008069B9"/>
    <w:rPr>
      <w:i/>
      <w:iCs/>
      <w:color w:val="404040" w:themeColor="text1" w:themeTint="BF"/>
    </w:rPr>
  </w:style>
  <w:style w:type="paragraph" w:styleId="a9">
    <w:name w:val="List Paragraph"/>
    <w:basedOn w:val="a"/>
    <w:uiPriority w:val="34"/>
    <w:qFormat/>
    <w:rsid w:val="008069B9"/>
    <w:pPr>
      <w:ind w:left="720"/>
      <w:contextualSpacing/>
    </w:pPr>
  </w:style>
  <w:style w:type="character" w:styleId="aa">
    <w:name w:val="Intense Emphasis"/>
    <w:basedOn w:val="a0"/>
    <w:uiPriority w:val="21"/>
    <w:qFormat/>
    <w:rsid w:val="008069B9"/>
    <w:rPr>
      <w:i/>
      <w:iCs/>
      <w:color w:val="2F5496" w:themeColor="accent1" w:themeShade="BF"/>
    </w:rPr>
  </w:style>
  <w:style w:type="paragraph" w:styleId="ab">
    <w:name w:val="Intense Quote"/>
    <w:basedOn w:val="a"/>
    <w:next w:val="a"/>
    <w:link w:val="ac"/>
    <w:uiPriority w:val="30"/>
    <w:qFormat/>
    <w:rsid w:val="008069B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ציטוט חזק תו"/>
    <w:basedOn w:val="a0"/>
    <w:link w:val="ab"/>
    <w:uiPriority w:val="30"/>
    <w:rsid w:val="008069B9"/>
    <w:rPr>
      <w:i/>
      <w:iCs/>
      <w:color w:val="2F5496" w:themeColor="accent1" w:themeShade="BF"/>
    </w:rPr>
  </w:style>
  <w:style w:type="character" w:styleId="ad">
    <w:name w:val="Intense Reference"/>
    <w:basedOn w:val="a0"/>
    <w:uiPriority w:val="32"/>
    <w:qFormat/>
    <w:rsid w:val="008069B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LH" Type="http://schemas.openxmlformats.org/officeDocument/2006/relationships/header" Target="headerLH.xml"/></Relationships>
</file>

<file path=word/_rels/headerLH.xml.rels><?xml version="1.0" encoding="UTF-8" standalone="yes"?>
<Relationships xmlns="http://schemas.openxmlformats.org/package/2006/relationships"><Relationship Id="rId1" Type="http://schemas.openxmlformats.org/officeDocument/2006/relationships/image" Target="media/lh_image.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744</Words>
  <Characters>3721</Characters>
  <Application>Microsoft Office Word</Application>
  <DocSecurity>0</DocSecurity>
  <Lines>31</Lines>
  <Paragraphs>8</Paragraphs>
  <ScaleCrop>false</ScaleCrop>
  <Company/>
  <LinksUpToDate>false</LinksUpToDate>
  <CharactersWithSpaces>4457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מעיין משען</dc:creator>
  <cp:keywords/>
  <dc:description/>
  <cp:lastModifiedBy>מעיין משען</cp:lastModifiedBy>
  <cp:revision>2</cp:revision>
  <dcterms:created xsi:type="dcterms:W3CDTF">2026-10-19T09:22:00Z</dcterms:created>
  <dcterms:modified xsi:type="dcterms:W3CDTF">2026-10-19T09:32:00Z</dcterms:modified>
</cp:coreProperties>
</file>